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B8E" w:rsidRDefault="00221B8E" w:rsidP="00221B8E">
      <w:pPr>
        <w:pStyle w:val="Default"/>
        <w:rPr>
          <w:rFonts w:ascii="Times New Roman" w:hAnsi="Times New Roman" w:cs="Times New Roman"/>
          <w:b/>
          <w:bCs/>
          <w:sz w:val="36"/>
          <w:szCs w:val="36"/>
        </w:rPr>
      </w:pPr>
      <w:r w:rsidRPr="0023219D">
        <w:rPr>
          <w:rFonts w:ascii="Times New Roman" w:hAnsi="Times New Roman" w:cs="Times New Roman"/>
          <w:b/>
          <w:bCs/>
          <w:sz w:val="36"/>
          <w:szCs w:val="36"/>
        </w:rPr>
        <w:t>L</w:t>
      </w:r>
      <w:r>
        <w:rPr>
          <w:rFonts w:ascii="Times New Roman" w:hAnsi="Times New Roman" w:cs="Times New Roman"/>
          <w:b/>
          <w:bCs/>
          <w:sz w:val="36"/>
          <w:szCs w:val="36"/>
        </w:rPr>
        <w:t xml:space="preserve">’évaluation de la politique environnementale entre régulation nationale et gestion locale. </w:t>
      </w:r>
    </w:p>
    <w:p w:rsidR="00221B8E" w:rsidRDefault="00221B8E" w:rsidP="00221B8E">
      <w:pPr>
        <w:pStyle w:val="Default"/>
        <w:rPr>
          <w:rFonts w:ascii="Times New Roman" w:hAnsi="Times New Roman" w:cs="Times New Roman"/>
          <w:b/>
          <w:bCs/>
          <w:sz w:val="36"/>
          <w:szCs w:val="36"/>
        </w:rPr>
      </w:pPr>
    </w:p>
    <w:p w:rsidR="00221B8E" w:rsidRPr="0023219D" w:rsidRDefault="00221B8E" w:rsidP="00221B8E">
      <w:pPr>
        <w:pStyle w:val="Default"/>
        <w:rPr>
          <w:rFonts w:ascii="Times New Roman" w:hAnsi="Times New Roman" w:cs="Times New Roman"/>
          <w:sz w:val="36"/>
          <w:szCs w:val="36"/>
        </w:rPr>
      </w:pPr>
      <w:r>
        <w:rPr>
          <w:rFonts w:ascii="Times New Roman" w:hAnsi="Times New Roman" w:cs="Times New Roman"/>
          <w:b/>
          <w:bCs/>
          <w:sz w:val="36"/>
          <w:szCs w:val="36"/>
        </w:rPr>
        <w:t xml:space="preserve">Le cas de trois anciennes mines d’uranium françaises </w:t>
      </w:r>
    </w:p>
    <w:p w:rsidR="00221B8E" w:rsidRDefault="00221B8E" w:rsidP="00221B8E">
      <w:pPr>
        <w:pStyle w:val="Default"/>
        <w:rPr>
          <w:b/>
          <w:bCs/>
          <w:sz w:val="36"/>
          <w:szCs w:val="36"/>
        </w:rPr>
      </w:pPr>
    </w:p>
    <w:p w:rsidR="00221B8E" w:rsidRDefault="00221B8E" w:rsidP="00221B8E">
      <w:pPr>
        <w:pStyle w:val="Default"/>
        <w:rPr>
          <w:rFonts w:ascii="Times New Roman" w:hAnsi="Times New Roman" w:cs="Times New Roman"/>
          <w:b/>
          <w:bCs/>
          <w:sz w:val="28"/>
          <w:szCs w:val="28"/>
        </w:rPr>
      </w:pPr>
      <w:r w:rsidRPr="0023219D">
        <w:rPr>
          <w:rFonts w:ascii="Times New Roman" w:hAnsi="Times New Roman" w:cs="Times New Roman"/>
          <w:b/>
          <w:bCs/>
          <w:sz w:val="28"/>
          <w:szCs w:val="28"/>
        </w:rPr>
        <w:t xml:space="preserve">Sophie </w:t>
      </w:r>
      <w:proofErr w:type="spellStart"/>
      <w:r w:rsidRPr="0023219D">
        <w:rPr>
          <w:rFonts w:ascii="Times New Roman" w:hAnsi="Times New Roman" w:cs="Times New Roman"/>
          <w:b/>
          <w:bCs/>
          <w:sz w:val="28"/>
          <w:szCs w:val="28"/>
        </w:rPr>
        <w:t>Bretesché</w:t>
      </w:r>
      <w:proofErr w:type="spellEnd"/>
    </w:p>
    <w:p w:rsidR="00221B8E" w:rsidRDefault="00221B8E" w:rsidP="00221B8E">
      <w:pPr>
        <w:pStyle w:val="Default"/>
        <w:rPr>
          <w:rFonts w:ascii="Times New Roman" w:hAnsi="Times New Roman" w:cs="Times New Roman"/>
        </w:rPr>
      </w:pPr>
    </w:p>
    <w:p w:rsidR="00221B8E" w:rsidRPr="0023219D" w:rsidRDefault="00221B8E" w:rsidP="00221B8E">
      <w:pPr>
        <w:pStyle w:val="Default"/>
        <w:rPr>
          <w:rFonts w:ascii="Times New Roman" w:hAnsi="Times New Roman" w:cs="Times New Roman"/>
        </w:rPr>
      </w:pPr>
      <w:r w:rsidRPr="0023219D">
        <w:rPr>
          <w:rFonts w:ascii="Times New Roman" w:hAnsi="Times New Roman" w:cs="Times New Roman"/>
        </w:rPr>
        <w:t xml:space="preserve">Enseignant-chercheur en sociologie </w:t>
      </w:r>
    </w:p>
    <w:p w:rsidR="00221B8E" w:rsidRPr="0023219D" w:rsidRDefault="00221B8E" w:rsidP="00221B8E">
      <w:pPr>
        <w:pStyle w:val="Default"/>
        <w:rPr>
          <w:rFonts w:ascii="Times New Roman" w:hAnsi="Times New Roman" w:cs="Times New Roman"/>
        </w:rPr>
      </w:pPr>
      <w:r w:rsidRPr="0023219D">
        <w:rPr>
          <w:rFonts w:ascii="Times New Roman" w:hAnsi="Times New Roman" w:cs="Times New Roman"/>
        </w:rPr>
        <w:t xml:space="preserve">LEMNA-Laboratoire Economie et de Management de Nantes Atlantique </w:t>
      </w:r>
    </w:p>
    <w:p w:rsidR="00221B8E" w:rsidRPr="0023219D" w:rsidRDefault="00221B8E" w:rsidP="00221B8E">
      <w:pPr>
        <w:pStyle w:val="Default"/>
        <w:rPr>
          <w:rFonts w:ascii="Times New Roman" w:hAnsi="Times New Roman" w:cs="Times New Roman"/>
        </w:rPr>
      </w:pPr>
      <w:r w:rsidRPr="0023219D">
        <w:rPr>
          <w:rFonts w:ascii="Times New Roman" w:hAnsi="Times New Roman" w:cs="Times New Roman"/>
        </w:rPr>
        <w:t xml:space="preserve">Ecole des Mines de Nantes </w:t>
      </w:r>
    </w:p>
    <w:p w:rsidR="00221B8E" w:rsidRPr="0023219D" w:rsidRDefault="00221B8E" w:rsidP="00221B8E">
      <w:pPr>
        <w:pStyle w:val="Default"/>
        <w:rPr>
          <w:rFonts w:ascii="Times New Roman" w:hAnsi="Times New Roman" w:cs="Times New Roman"/>
        </w:rPr>
      </w:pPr>
      <w:r w:rsidRPr="0023219D">
        <w:rPr>
          <w:rFonts w:ascii="Times New Roman" w:hAnsi="Times New Roman" w:cs="Times New Roman"/>
        </w:rPr>
        <w:t xml:space="preserve">La chantrerie </w:t>
      </w:r>
    </w:p>
    <w:p w:rsidR="00221B8E" w:rsidRPr="0023219D" w:rsidRDefault="00221B8E" w:rsidP="00221B8E">
      <w:pPr>
        <w:pStyle w:val="Default"/>
        <w:rPr>
          <w:rFonts w:ascii="Times New Roman" w:hAnsi="Times New Roman" w:cs="Times New Roman"/>
        </w:rPr>
      </w:pPr>
      <w:r w:rsidRPr="0023219D">
        <w:rPr>
          <w:rFonts w:ascii="Times New Roman" w:hAnsi="Times New Roman" w:cs="Times New Roman"/>
        </w:rPr>
        <w:t xml:space="preserve">44 300 Nantes </w:t>
      </w:r>
    </w:p>
    <w:p w:rsidR="00221B8E" w:rsidRPr="0023219D" w:rsidRDefault="00221B8E" w:rsidP="00221B8E">
      <w:pPr>
        <w:pStyle w:val="Default"/>
        <w:rPr>
          <w:rFonts w:ascii="Times New Roman" w:hAnsi="Times New Roman" w:cs="Times New Roman"/>
        </w:rPr>
      </w:pPr>
      <w:proofErr w:type="gramStart"/>
      <w:r w:rsidRPr="0023219D">
        <w:rPr>
          <w:rFonts w:ascii="Times New Roman" w:hAnsi="Times New Roman" w:cs="Times New Roman"/>
        </w:rPr>
        <w:t>tél</w:t>
      </w:r>
      <w:proofErr w:type="gramEnd"/>
      <w:r w:rsidRPr="0023219D">
        <w:rPr>
          <w:rFonts w:ascii="Times New Roman" w:hAnsi="Times New Roman" w:cs="Times New Roman"/>
        </w:rPr>
        <w:t xml:space="preserve"> : 02 51 85 </w:t>
      </w:r>
      <w:proofErr w:type="spellStart"/>
      <w:r w:rsidRPr="0023219D">
        <w:rPr>
          <w:rFonts w:ascii="Times New Roman" w:hAnsi="Times New Roman" w:cs="Times New Roman"/>
        </w:rPr>
        <w:t>85</w:t>
      </w:r>
      <w:proofErr w:type="spellEnd"/>
      <w:r w:rsidRPr="0023219D">
        <w:rPr>
          <w:rFonts w:ascii="Times New Roman" w:hAnsi="Times New Roman" w:cs="Times New Roman"/>
        </w:rPr>
        <w:t xml:space="preserve"> 41 </w:t>
      </w:r>
    </w:p>
    <w:p w:rsidR="00221B8E" w:rsidRPr="0023219D" w:rsidRDefault="00221B8E" w:rsidP="00221B8E">
      <w:pPr>
        <w:pStyle w:val="Default"/>
      </w:pPr>
      <w:r w:rsidRPr="0023219D">
        <w:rPr>
          <w:rFonts w:ascii="Times New Roman" w:hAnsi="Times New Roman" w:cs="Times New Roman"/>
        </w:rPr>
        <w:t xml:space="preserve">Sophie.Bretesche@mines-nantes.fr </w:t>
      </w:r>
      <w:r w:rsidRPr="0023219D">
        <w:t xml:space="preserve"> </w:t>
      </w:r>
    </w:p>
    <w:p w:rsidR="00221B8E" w:rsidRDefault="00221B8E" w:rsidP="00221B8E">
      <w:pPr>
        <w:pStyle w:val="Default"/>
        <w:rPr>
          <w:rFonts w:ascii="Times New Roman" w:hAnsi="Times New Roman" w:cs="Times New Roman"/>
          <w:b/>
          <w:bCs/>
          <w:sz w:val="28"/>
          <w:szCs w:val="28"/>
        </w:rPr>
      </w:pPr>
    </w:p>
    <w:p w:rsidR="00221B8E" w:rsidRDefault="00221B8E" w:rsidP="00E2354B">
      <w:pPr>
        <w:rPr>
          <w:rFonts w:ascii="Times New Roman" w:hAnsi="Times New Roman" w:cs="Times New Roman"/>
          <w:b/>
          <w:sz w:val="24"/>
          <w:szCs w:val="24"/>
        </w:rPr>
      </w:pPr>
    </w:p>
    <w:p w:rsidR="00221B8E" w:rsidRDefault="00221B8E" w:rsidP="00E2354B">
      <w:pPr>
        <w:rPr>
          <w:rFonts w:ascii="Times New Roman" w:hAnsi="Times New Roman" w:cs="Times New Roman"/>
          <w:b/>
          <w:sz w:val="28"/>
          <w:szCs w:val="28"/>
        </w:rPr>
      </w:pPr>
      <w:r w:rsidRPr="00221B8E">
        <w:rPr>
          <w:rFonts w:ascii="Times New Roman" w:hAnsi="Times New Roman" w:cs="Times New Roman"/>
          <w:b/>
          <w:sz w:val="28"/>
          <w:szCs w:val="28"/>
        </w:rPr>
        <w:t>Patrick Chardon</w:t>
      </w:r>
    </w:p>
    <w:p w:rsidR="00DF3C20" w:rsidRDefault="00DF3C20" w:rsidP="00DF3C20">
      <w:pPr>
        <w:pStyle w:val="Sansinterligne"/>
        <w:rPr>
          <w:rFonts w:ascii="Times New Roman" w:hAnsi="Times New Roman" w:cs="Times New Roman"/>
          <w:sz w:val="24"/>
          <w:szCs w:val="24"/>
        </w:rPr>
      </w:pPr>
      <w:r>
        <w:rPr>
          <w:rFonts w:ascii="Times New Roman" w:hAnsi="Times New Roman" w:cs="Times New Roman"/>
          <w:sz w:val="24"/>
          <w:szCs w:val="24"/>
        </w:rPr>
        <w:t>Responsable du réseau Becquerel CNRS/IN2P3</w:t>
      </w:r>
    </w:p>
    <w:p w:rsidR="00DF3C20" w:rsidRDefault="00DF3C20" w:rsidP="00DF3C20">
      <w:pPr>
        <w:pStyle w:val="Sansinterligne"/>
        <w:rPr>
          <w:rFonts w:ascii="Times New Roman" w:hAnsi="Times New Roman" w:cs="Times New Roman"/>
          <w:sz w:val="24"/>
          <w:szCs w:val="24"/>
        </w:rPr>
      </w:pPr>
      <w:r>
        <w:rPr>
          <w:rFonts w:ascii="Times New Roman" w:hAnsi="Times New Roman" w:cs="Times New Roman"/>
          <w:sz w:val="24"/>
          <w:szCs w:val="24"/>
        </w:rPr>
        <w:t xml:space="preserve">Laboratoire </w:t>
      </w:r>
      <w:proofErr w:type="spellStart"/>
      <w:r>
        <w:rPr>
          <w:rFonts w:ascii="Times New Roman" w:hAnsi="Times New Roman" w:cs="Times New Roman"/>
          <w:sz w:val="24"/>
          <w:szCs w:val="24"/>
        </w:rPr>
        <w:t>Subatech</w:t>
      </w:r>
      <w:proofErr w:type="spellEnd"/>
    </w:p>
    <w:p w:rsidR="00DF3C20" w:rsidRDefault="00DF3C20" w:rsidP="00DF3C20">
      <w:pPr>
        <w:pStyle w:val="Sansinterligne"/>
        <w:rPr>
          <w:rFonts w:ascii="Times New Roman" w:hAnsi="Times New Roman" w:cs="Times New Roman"/>
          <w:sz w:val="24"/>
          <w:szCs w:val="24"/>
        </w:rPr>
      </w:pPr>
      <w:r>
        <w:rPr>
          <w:rFonts w:ascii="Times New Roman" w:hAnsi="Times New Roman" w:cs="Times New Roman"/>
          <w:sz w:val="24"/>
          <w:szCs w:val="24"/>
        </w:rPr>
        <w:t>4 rue A. Kastler</w:t>
      </w:r>
    </w:p>
    <w:p w:rsidR="00DF3C20" w:rsidRDefault="00DF3C20" w:rsidP="00DF3C20">
      <w:pPr>
        <w:pStyle w:val="Sansinterligne"/>
        <w:rPr>
          <w:rFonts w:ascii="Times New Roman" w:hAnsi="Times New Roman" w:cs="Times New Roman"/>
          <w:sz w:val="24"/>
          <w:szCs w:val="24"/>
        </w:rPr>
      </w:pPr>
      <w:r>
        <w:rPr>
          <w:rFonts w:ascii="Times New Roman" w:hAnsi="Times New Roman" w:cs="Times New Roman"/>
          <w:sz w:val="24"/>
          <w:szCs w:val="24"/>
        </w:rPr>
        <w:t>BP 20722</w:t>
      </w:r>
    </w:p>
    <w:p w:rsidR="00DF3C20" w:rsidRDefault="00DF3C20" w:rsidP="00DF3C20">
      <w:pPr>
        <w:pStyle w:val="Sansinterligne"/>
        <w:rPr>
          <w:rFonts w:ascii="Times New Roman" w:hAnsi="Times New Roman" w:cs="Times New Roman"/>
          <w:sz w:val="24"/>
          <w:szCs w:val="24"/>
        </w:rPr>
      </w:pPr>
      <w:r>
        <w:rPr>
          <w:rFonts w:ascii="Times New Roman" w:hAnsi="Times New Roman" w:cs="Times New Roman"/>
          <w:sz w:val="24"/>
          <w:szCs w:val="24"/>
        </w:rPr>
        <w:t>44304 Nantes Cedex 3</w:t>
      </w:r>
    </w:p>
    <w:p w:rsidR="00DF3C20" w:rsidRDefault="00DF3C20" w:rsidP="00DF3C20">
      <w:pPr>
        <w:pStyle w:val="Sansinterligne"/>
        <w:rPr>
          <w:rFonts w:ascii="Times New Roman" w:hAnsi="Times New Roman" w:cs="Times New Roman"/>
          <w:sz w:val="24"/>
          <w:szCs w:val="24"/>
        </w:rPr>
      </w:pPr>
      <w:r>
        <w:rPr>
          <w:rFonts w:ascii="Times New Roman" w:hAnsi="Times New Roman" w:cs="Times New Roman"/>
          <w:sz w:val="24"/>
          <w:szCs w:val="24"/>
        </w:rPr>
        <w:t>Tél : 02 51 85 84 22</w:t>
      </w:r>
    </w:p>
    <w:p w:rsidR="00DF3C20" w:rsidRDefault="00DF3C20" w:rsidP="00DF3C20">
      <w:pPr>
        <w:pStyle w:val="Sansinterligne"/>
        <w:rPr>
          <w:rFonts w:ascii="Times New Roman" w:hAnsi="Times New Roman" w:cs="Times New Roman"/>
          <w:sz w:val="24"/>
          <w:szCs w:val="24"/>
        </w:rPr>
      </w:pPr>
      <w:r>
        <w:rPr>
          <w:rFonts w:ascii="Times New Roman" w:hAnsi="Times New Roman" w:cs="Times New Roman"/>
          <w:sz w:val="24"/>
          <w:szCs w:val="24"/>
        </w:rPr>
        <w:t>Patrick.chardon@subatech.in2p3.fr</w:t>
      </w:r>
    </w:p>
    <w:p w:rsidR="00221B8E" w:rsidRPr="00221B8E" w:rsidRDefault="00221B8E" w:rsidP="00221B8E">
      <w:pPr>
        <w:pStyle w:val="Sansinterligne"/>
      </w:pPr>
    </w:p>
    <w:p w:rsidR="00221B8E" w:rsidRPr="00221B8E" w:rsidRDefault="00221B8E" w:rsidP="00221B8E">
      <w:pPr>
        <w:pStyle w:val="Sansinterligne"/>
      </w:pPr>
    </w:p>
    <w:p w:rsidR="00221B8E" w:rsidRDefault="00221B8E" w:rsidP="00221B8E">
      <w:pPr>
        <w:pStyle w:val="Default"/>
        <w:rPr>
          <w:rFonts w:ascii="Times New Roman" w:hAnsi="Times New Roman" w:cs="Times New Roman"/>
          <w:b/>
          <w:bCs/>
          <w:sz w:val="36"/>
          <w:szCs w:val="36"/>
        </w:rPr>
      </w:pPr>
    </w:p>
    <w:p w:rsidR="00221B8E" w:rsidRDefault="00221B8E" w:rsidP="00221B8E">
      <w:pPr>
        <w:pStyle w:val="Default"/>
        <w:rPr>
          <w:rFonts w:ascii="Times New Roman" w:hAnsi="Times New Roman" w:cs="Times New Roman"/>
          <w:b/>
          <w:bCs/>
          <w:sz w:val="36"/>
          <w:szCs w:val="36"/>
        </w:rPr>
      </w:pPr>
    </w:p>
    <w:p w:rsidR="00221B8E" w:rsidRDefault="00221B8E" w:rsidP="00221B8E">
      <w:pPr>
        <w:pStyle w:val="Default"/>
        <w:rPr>
          <w:rFonts w:ascii="Times New Roman" w:hAnsi="Times New Roman" w:cs="Times New Roman"/>
          <w:b/>
          <w:bCs/>
          <w:sz w:val="36"/>
          <w:szCs w:val="36"/>
        </w:rPr>
      </w:pPr>
    </w:p>
    <w:p w:rsidR="00221B8E" w:rsidRDefault="00221B8E" w:rsidP="00221B8E">
      <w:pPr>
        <w:pStyle w:val="Default"/>
        <w:rPr>
          <w:rFonts w:ascii="Times New Roman" w:hAnsi="Times New Roman" w:cs="Times New Roman"/>
          <w:b/>
          <w:bCs/>
          <w:sz w:val="36"/>
          <w:szCs w:val="36"/>
        </w:rPr>
      </w:pPr>
    </w:p>
    <w:p w:rsidR="00221B8E" w:rsidRDefault="00221B8E" w:rsidP="00221B8E">
      <w:pPr>
        <w:pStyle w:val="Default"/>
        <w:rPr>
          <w:rFonts w:ascii="Times New Roman" w:hAnsi="Times New Roman" w:cs="Times New Roman"/>
          <w:b/>
          <w:bCs/>
          <w:sz w:val="36"/>
          <w:szCs w:val="36"/>
        </w:rPr>
      </w:pPr>
    </w:p>
    <w:p w:rsidR="00221B8E" w:rsidRDefault="00221B8E" w:rsidP="00221B8E">
      <w:pPr>
        <w:pStyle w:val="Default"/>
        <w:rPr>
          <w:rFonts w:ascii="Times New Roman" w:hAnsi="Times New Roman" w:cs="Times New Roman"/>
          <w:b/>
          <w:bCs/>
          <w:sz w:val="36"/>
          <w:szCs w:val="36"/>
        </w:rPr>
      </w:pPr>
    </w:p>
    <w:p w:rsidR="00221B8E" w:rsidRDefault="00221B8E" w:rsidP="00221B8E">
      <w:pPr>
        <w:pStyle w:val="Default"/>
        <w:rPr>
          <w:rFonts w:ascii="Times New Roman" w:hAnsi="Times New Roman" w:cs="Times New Roman"/>
          <w:b/>
          <w:bCs/>
          <w:sz w:val="36"/>
          <w:szCs w:val="36"/>
        </w:rPr>
      </w:pPr>
    </w:p>
    <w:p w:rsidR="00221B8E" w:rsidRDefault="00221B8E" w:rsidP="00221B8E">
      <w:pPr>
        <w:pStyle w:val="Default"/>
        <w:rPr>
          <w:rFonts w:ascii="Times New Roman" w:hAnsi="Times New Roman" w:cs="Times New Roman"/>
          <w:b/>
          <w:bCs/>
          <w:sz w:val="36"/>
          <w:szCs w:val="36"/>
        </w:rPr>
      </w:pPr>
    </w:p>
    <w:p w:rsidR="00221B8E" w:rsidRDefault="00221B8E" w:rsidP="00221B8E">
      <w:pPr>
        <w:pStyle w:val="Default"/>
        <w:rPr>
          <w:rFonts w:ascii="Times New Roman" w:hAnsi="Times New Roman" w:cs="Times New Roman"/>
          <w:b/>
          <w:bCs/>
          <w:sz w:val="36"/>
          <w:szCs w:val="36"/>
        </w:rPr>
      </w:pPr>
    </w:p>
    <w:p w:rsidR="00221B8E" w:rsidRDefault="00221B8E" w:rsidP="00221B8E">
      <w:pPr>
        <w:pStyle w:val="Default"/>
        <w:rPr>
          <w:rFonts w:ascii="Times New Roman" w:hAnsi="Times New Roman" w:cs="Times New Roman"/>
          <w:b/>
          <w:bCs/>
          <w:sz w:val="36"/>
          <w:szCs w:val="36"/>
        </w:rPr>
      </w:pPr>
    </w:p>
    <w:p w:rsidR="00221B8E" w:rsidRDefault="00221B8E" w:rsidP="00221B8E">
      <w:pPr>
        <w:pStyle w:val="Default"/>
        <w:rPr>
          <w:rFonts w:ascii="Times New Roman" w:hAnsi="Times New Roman" w:cs="Times New Roman"/>
          <w:b/>
          <w:bCs/>
          <w:sz w:val="36"/>
          <w:szCs w:val="36"/>
        </w:rPr>
      </w:pPr>
    </w:p>
    <w:p w:rsidR="00221B8E" w:rsidRDefault="00221B8E" w:rsidP="00221B8E">
      <w:pPr>
        <w:pStyle w:val="Default"/>
        <w:rPr>
          <w:rFonts w:ascii="Times New Roman" w:hAnsi="Times New Roman" w:cs="Times New Roman"/>
          <w:b/>
          <w:bCs/>
          <w:sz w:val="36"/>
          <w:szCs w:val="36"/>
        </w:rPr>
      </w:pPr>
    </w:p>
    <w:p w:rsidR="00221B8E" w:rsidRDefault="00221B8E" w:rsidP="00221B8E">
      <w:pPr>
        <w:pStyle w:val="Default"/>
        <w:rPr>
          <w:rFonts w:ascii="Times New Roman" w:hAnsi="Times New Roman" w:cs="Times New Roman"/>
          <w:b/>
          <w:bCs/>
          <w:sz w:val="36"/>
          <w:szCs w:val="36"/>
        </w:rPr>
      </w:pPr>
    </w:p>
    <w:p w:rsidR="00221B8E" w:rsidRDefault="00221B8E" w:rsidP="00221B8E">
      <w:pPr>
        <w:pStyle w:val="Default"/>
        <w:rPr>
          <w:rFonts w:ascii="Times New Roman" w:hAnsi="Times New Roman" w:cs="Times New Roman"/>
          <w:b/>
          <w:bCs/>
          <w:sz w:val="36"/>
          <w:szCs w:val="36"/>
        </w:rPr>
      </w:pPr>
      <w:r w:rsidRPr="0023219D">
        <w:rPr>
          <w:rFonts w:ascii="Times New Roman" w:hAnsi="Times New Roman" w:cs="Times New Roman"/>
          <w:b/>
          <w:bCs/>
          <w:sz w:val="36"/>
          <w:szCs w:val="36"/>
        </w:rPr>
        <w:lastRenderedPageBreak/>
        <w:t>L</w:t>
      </w:r>
      <w:r>
        <w:rPr>
          <w:rFonts w:ascii="Times New Roman" w:hAnsi="Times New Roman" w:cs="Times New Roman"/>
          <w:b/>
          <w:bCs/>
          <w:sz w:val="36"/>
          <w:szCs w:val="36"/>
        </w:rPr>
        <w:t xml:space="preserve">’évaluation de la politique environnementale entre régulation nationale et gestion locale. </w:t>
      </w:r>
    </w:p>
    <w:p w:rsidR="00221B8E" w:rsidRDefault="00221B8E" w:rsidP="00221B8E">
      <w:pPr>
        <w:pStyle w:val="Default"/>
        <w:rPr>
          <w:rFonts w:ascii="Times New Roman" w:hAnsi="Times New Roman" w:cs="Times New Roman"/>
          <w:b/>
          <w:bCs/>
          <w:sz w:val="36"/>
          <w:szCs w:val="36"/>
        </w:rPr>
      </w:pPr>
    </w:p>
    <w:p w:rsidR="00221B8E" w:rsidRPr="0023219D" w:rsidRDefault="00221B8E" w:rsidP="00221B8E">
      <w:pPr>
        <w:pStyle w:val="Default"/>
        <w:rPr>
          <w:rFonts w:ascii="Times New Roman" w:hAnsi="Times New Roman" w:cs="Times New Roman"/>
          <w:sz w:val="36"/>
          <w:szCs w:val="36"/>
        </w:rPr>
      </w:pPr>
      <w:r>
        <w:rPr>
          <w:rFonts w:ascii="Times New Roman" w:hAnsi="Times New Roman" w:cs="Times New Roman"/>
          <w:b/>
          <w:bCs/>
          <w:sz w:val="36"/>
          <w:szCs w:val="36"/>
        </w:rPr>
        <w:t xml:space="preserve">Le cas de trois anciennes mines d’uranium françaises </w:t>
      </w:r>
    </w:p>
    <w:p w:rsidR="00221B8E" w:rsidRDefault="00221B8E" w:rsidP="00E2354B">
      <w:pPr>
        <w:rPr>
          <w:rFonts w:ascii="Times New Roman" w:hAnsi="Times New Roman" w:cs="Times New Roman"/>
          <w:b/>
          <w:sz w:val="24"/>
          <w:szCs w:val="24"/>
        </w:rPr>
      </w:pPr>
    </w:p>
    <w:p w:rsidR="00221B8E" w:rsidRPr="006E451C" w:rsidRDefault="006E451C" w:rsidP="00E2354B">
      <w:pPr>
        <w:rPr>
          <w:rFonts w:ascii="Times New Roman" w:hAnsi="Times New Roman" w:cs="Times New Roman"/>
          <w:b/>
          <w:sz w:val="28"/>
          <w:szCs w:val="28"/>
        </w:rPr>
      </w:pPr>
      <w:r w:rsidRPr="006E451C">
        <w:rPr>
          <w:rFonts w:ascii="Times New Roman" w:hAnsi="Times New Roman" w:cs="Times New Roman"/>
          <w:b/>
          <w:sz w:val="24"/>
          <w:szCs w:val="24"/>
        </w:rPr>
        <w:t>Auteur correspondant</w:t>
      </w:r>
      <w:r w:rsidRPr="006E451C">
        <w:rPr>
          <w:rFonts w:ascii="Times New Roman" w:hAnsi="Times New Roman" w:cs="Times New Roman"/>
          <w:b/>
          <w:sz w:val="28"/>
          <w:szCs w:val="28"/>
        </w:rPr>
        <w:t> :</w:t>
      </w:r>
    </w:p>
    <w:p w:rsidR="006E451C" w:rsidRPr="006E451C" w:rsidRDefault="006E451C" w:rsidP="006E451C">
      <w:pPr>
        <w:pStyle w:val="Default"/>
        <w:rPr>
          <w:rFonts w:ascii="Times New Roman" w:hAnsi="Times New Roman" w:cs="Times New Roman"/>
          <w:bCs/>
        </w:rPr>
      </w:pPr>
      <w:r w:rsidRPr="006E451C">
        <w:rPr>
          <w:rFonts w:ascii="Times New Roman" w:hAnsi="Times New Roman" w:cs="Times New Roman"/>
          <w:bCs/>
        </w:rPr>
        <w:t xml:space="preserve">Sophie </w:t>
      </w:r>
      <w:proofErr w:type="spellStart"/>
      <w:r w:rsidRPr="006E451C">
        <w:rPr>
          <w:rFonts w:ascii="Times New Roman" w:hAnsi="Times New Roman" w:cs="Times New Roman"/>
          <w:bCs/>
        </w:rPr>
        <w:t>Bretesché</w:t>
      </w:r>
      <w:proofErr w:type="spellEnd"/>
    </w:p>
    <w:p w:rsidR="006E451C" w:rsidRPr="0023219D" w:rsidRDefault="006E451C" w:rsidP="006E451C">
      <w:pPr>
        <w:pStyle w:val="Default"/>
        <w:rPr>
          <w:rFonts w:ascii="Times New Roman" w:hAnsi="Times New Roman" w:cs="Times New Roman"/>
        </w:rPr>
      </w:pPr>
      <w:r w:rsidRPr="006E451C">
        <w:rPr>
          <w:rFonts w:ascii="Times New Roman" w:hAnsi="Times New Roman" w:cs="Times New Roman"/>
        </w:rPr>
        <w:t>Enseignant-chercheur</w:t>
      </w:r>
      <w:r w:rsidRPr="0023219D">
        <w:rPr>
          <w:rFonts w:ascii="Times New Roman" w:hAnsi="Times New Roman" w:cs="Times New Roman"/>
        </w:rPr>
        <w:t xml:space="preserve"> en sociologie </w:t>
      </w:r>
    </w:p>
    <w:p w:rsidR="006E451C" w:rsidRPr="0023219D" w:rsidRDefault="006E451C" w:rsidP="006E451C">
      <w:pPr>
        <w:pStyle w:val="Default"/>
        <w:rPr>
          <w:rFonts w:ascii="Times New Roman" w:hAnsi="Times New Roman" w:cs="Times New Roman"/>
        </w:rPr>
      </w:pPr>
      <w:r w:rsidRPr="0023219D">
        <w:rPr>
          <w:rFonts w:ascii="Times New Roman" w:hAnsi="Times New Roman" w:cs="Times New Roman"/>
        </w:rPr>
        <w:t xml:space="preserve">LEMNA-Laboratoire Economie et de Management de Nantes Atlantique </w:t>
      </w:r>
    </w:p>
    <w:p w:rsidR="006E451C" w:rsidRPr="0023219D" w:rsidRDefault="006E451C" w:rsidP="006E451C">
      <w:pPr>
        <w:pStyle w:val="Default"/>
        <w:rPr>
          <w:rFonts w:ascii="Times New Roman" w:hAnsi="Times New Roman" w:cs="Times New Roman"/>
        </w:rPr>
      </w:pPr>
      <w:r w:rsidRPr="0023219D">
        <w:rPr>
          <w:rFonts w:ascii="Times New Roman" w:hAnsi="Times New Roman" w:cs="Times New Roman"/>
        </w:rPr>
        <w:t xml:space="preserve">Ecole des Mines de Nantes </w:t>
      </w:r>
    </w:p>
    <w:p w:rsidR="006E451C" w:rsidRPr="0023219D" w:rsidRDefault="006E451C" w:rsidP="006E451C">
      <w:pPr>
        <w:pStyle w:val="Default"/>
        <w:rPr>
          <w:rFonts w:ascii="Times New Roman" w:hAnsi="Times New Roman" w:cs="Times New Roman"/>
        </w:rPr>
      </w:pPr>
      <w:r w:rsidRPr="0023219D">
        <w:rPr>
          <w:rFonts w:ascii="Times New Roman" w:hAnsi="Times New Roman" w:cs="Times New Roman"/>
        </w:rPr>
        <w:t xml:space="preserve">La chantrerie </w:t>
      </w:r>
    </w:p>
    <w:p w:rsidR="006E451C" w:rsidRPr="0023219D" w:rsidRDefault="006E451C" w:rsidP="006E451C">
      <w:pPr>
        <w:pStyle w:val="Default"/>
        <w:rPr>
          <w:rFonts w:ascii="Times New Roman" w:hAnsi="Times New Roman" w:cs="Times New Roman"/>
        </w:rPr>
      </w:pPr>
      <w:r w:rsidRPr="0023219D">
        <w:rPr>
          <w:rFonts w:ascii="Times New Roman" w:hAnsi="Times New Roman" w:cs="Times New Roman"/>
        </w:rPr>
        <w:t xml:space="preserve">44 300 Nantes </w:t>
      </w:r>
    </w:p>
    <w:p w:rsidR="006E451C" w:rsidRPr="0023219D" w:rsidRDefault="006E451C" w:rsidP="006E451C">
      <w:pPr>
        <w:pStyle w:val="Default"/>
        <w:rPr>
          <w:rFonts w:ascii="Times New Roman" w:hAnsi="Times New Roman" w:cs="Times New Roman"/>
        </w:rPr>
      </w:pPr>
      <w:proofErr w:type="gramStart"/>
      <w:r w:rsidRPr="0023219D">
        <w:rPr>
          <w:rFonts w:ascii="Times New Roman" w:hAnsi="Times New Roman" w:cs="Times New Roman"/>
        </w:rPr>
        <w:t>tél</w:t>
      </w:r>
      <w:proofErr w:type="gramEnd"/>
      <w:r w:rsidRPr="0023219D">
        <w:rPr>
          <w:rFonts w:ascii="Times New Roman" w:hAnsi="Times New Roman" w:cs="Times New Roman"/>
        </w:rPr>
        <w:t xml:space="preserve"> : 02 51 85 </w:t>
      </w:r>
      <w:proofErr w:type="spellStart"/>
      <w:r w:rsidRPr="0023219D">
        <w:rPr>
          <w:rFonts w:ascii="Times New Roman" w:hAnsi="Times New Roman" w:cs="Times New Roman"/>
        </w:rPr>
        <w:t>85</w:t>
      </w:r>
      <w:proofErr w:type="spellEnd"/>
      <w:r w:rsidRPr="0023219D">
        <w:rPr>
          <w:rFonts w:ascii="Times New Roman" w:hAnsi="Times New Roman" w:cs="Times New Roman"/>
        </w:rPr>
        <w:t xml:space="preserve"> 41 </w:t>
      </w:r>
    </w:p>
    <w:p w:rsidR="006E451C" w:rsidRPr="0023219D" w:rsidRDefault="006E451C" w:rsidP="006E451C">
      <w:pPr>
        <w:pStyle w:val="Default"/>
      </w:pPr>
      <w:r w:rsidRPr="0023219D">
        <w:rPr>
          <w:rFonts w:ascii="Times New Roman" w:hAnsi="Times New Roman" w:cs="Times New Roman"/>
        </w:rPr>
        <w:t xml:space="preserve">Sophie.Bretesche@mines-nantes.fr </w:t>
      </w:r>
      <w:r w:rsidRPr="0023219D">
        <w:t xml:space="preserve"> </w:t>
      </w:r>
    </w:p>
    <w:p w:rsidR="006E451C" w:rsidRDefault="006E451C" w:rsidP="00E2354B">
      <w:pPr>
        <w:rPr>
          <w:rFonts w:ascii="Times New Roman" w:hAnsi="Times New Roman" w:cs="Times New Roman"/>
          <w:b/>
          <w:sz w:val="24"/>
          <w:szCs w:val="24"/>
        </w:rPr>
      </w:pPr>
    </w:p>
    <w:p w:rsidR="00221B8E" w:rsidRPr="006E451C" w:rsidRDefault="00221B8E" w:rsidP="00E2354B">
      <w:pPr>
        <w:rPr>
          <w:rFonts w:ascii="Times New Roman" w:hAnsi="Times New Roman" w:cs="Times New Roman"/>
          <w:b/>
          <w:sz w:val="24"/>
          <w:szCs w:val="24"/>
        </w:rPr>
      </w:pPr>
      <w:r w:rsidRPr="006E451C">
        <w:rPr>
          <w:rFonts w:ascii="Times New Roman" w:hAnsi="Times New Roman" w:cs="Times New Roman"/>
          <w:b/>
          <w:sz w:val="24"/>
          <w:szCs w:val="24"/>
        </w:rPr>
        <w:t>Résumé</w:t>
      </w:r>
      <w:r w:rsidR="006E451C">
        <w:rPr>
          <w:rFonts w:ascii="Times New Roman" w:hAnsi="Times New Roman" w:cs="Times New Roman"/>
          <w:b/>
          <w:sz w:val="24"/>
          <w:szCs w:val="24"/>
        </w:rPr>
        <w:t> :</w:t>
      </w:r>
    </w:p>
    <w:p w:rsidR="00221B8E" w:rsidRPr="0042283D" w:rsidRDefault="0042283D" w:rsidP="00FC4AF9">
      <w:pPr>
        <w:jc w:val="both"/>
        <w:rPr>
          <w:rFonts w:ascii="Times New Roman" w:hAnsi="Times New Roman" w:cs="Times New Roman"/>
          <w:sz w:val="24"/>
          <w:szCs w:val="24"/>
        </w:rPr>
      </w:pPr>
      <w:r w:rsidRPr="0042283D">
        <w:rPr>
          <w:rFonts w:ascii="Times New Roman" w:hAnsi="Times New Roman" w:cs="Times New Roman"/>
          <w:sz w:val="24"/>
          <w:szCs w:val="24"/>
        </w:rPr>
        <w:t>Cet article propose d’analyser l’évaluation des politiques environnementales sous l’angle du rapport entre les modes de régulation nationaux et leur déclinaison à l’échelle des territoires. Il s’agit en effet de questionner la façon dont le territoire et sa valeur d’usage contribuent à impacter fortement l</w:t>
      </w:r>
      <w:r>
        <w:rPr>
          <w:rFonts w:ascii="Times New Roman" w:hAnsi="Times New Roman" w:cs="Times New Roman"/>
          <w:sz w:val="24"/>
          <w:szCs w:val="24"/>
        </w:rPr>
        <w:t>a déclinaison de prescriptions en matière d’environnement. L’analyse s‘appuie sur trois anciennes mines d’uranium</w:t>
      </w:r>
      <w:r w:rsidR="00FC4AF9">
        <w:rPr>
          <w:rFonts w:ascii="Times New Roman" w:hAnsi="Times New Roman" w:cs="Times New Roman"/>
          <w:sz w:val="24"/>
          <w:szCs w:val="24"/>
        </w:rPr>
        <w:t>.</w:t>
      </w:r>
      <w:r>
        <w:rPr>
          <w:rFonts w:ascii="Times New Roman" w:hAnsi="Times New Roman" w:cs="Times New Roman"/>
          <w:sz w:val="24"/>
          <w:szCs w:val="24"/>
        </w:rPr>
        <w:t xml:space="preserve"> Les résultats présentent trois configurations qui mettent en perspective le rôle majeur de l’usage local </w:t>
      </w:r>
      <w:r w:rsidR="00FC4AF9">
        <w:rPr>
          <w:rFonts w:ascii="Times New Roman" w:hAnsi="Times New Roman" w:cs="Times New Roman"/>
          <w:sz w:val="24"/>
          <w:szCs w:val="24"/>
        </w:rPr>
        <w:t>en matière d’évaluation de l’environnement.</w:t>
      </w:r>
      <w:r>
        <w:rPr>
          <w:rFonts w:ascii="Times New Roman" w:hAnsi="Times New Roman" w:cs="Times New Roman"/>
          <w:sz w:val="24"/>
          <w:szCs w:val="24"/>
        </w:rPr>
        <w:t xml:space="preserve">  </w:t>
      </w:r>
      <w:r w:rsidRPr="0042283D">
        <w:rPr>
          <w:rFonts w:ascii="Times New Roman" w:hAnsi="Times New Roman" w:cs="Times New Roman"/>
          <w:sz w:val="24"/>
          <w:szCs w:val="24"/>
        </w:rPr>
        <w:t xml:space="preserve"> </w:t>
      </w:r>
    </w:p>
    <w:p w:rsidR="00221B8E" w:rsidRPr="006E451C" w:rsidRDefault="006E451C" w:rsidP="00E2354B">
      <w:pPr>
        <w:rPr>
          <w:rFonts w:ascii="Times New Roman" w:hAnsi="Times New Roman" w:cs="Times New Roman"/>
          <w:sz w:val="24"/>
          <w:szCs w:val="24"/>
        </w:rPr>
      </w:pPr>
      <w:r w:rsidRPr="006E451C">
        <w:rPr>
          <w:rFonts w:ascii="Times New Roman" w:hAnsi="Times New Roman" w:cs="Times New Roman"/>
          <w:b/>
          <w:sz w:val="24"/>
          <w:szCs w:val="24"/>
        </w:rPr>
        <w:t>Mots clés</w:t>
      </w:r>
      <w:r w:rsidRPr="006E451C">
        <w:rPr>
          <w:rFonts w:ascii="Times New Roman" w:hAnsi="Times New Roman" w:cs="Times New Roman"/>
          <w:b/>
          <w:sz w:val="28"/>
          <w:szCs w:val="28"/>
        </w:rPr>
        <w:t> </w:t>
      </w:r>
      <w:r w:rsidRPr="006E451C">
        <w:rPr>
          <w:rFonts w:ascii="Times New Roman" w:hAnsi="Times New Roman" w:cs="Times New Roman"/>
          <w:b/>
          <w:sz w:val="24"/>
          <w:szCs w:val="24"/>
        </w:rPr>
        <w:t xml:space="preserve">: </w:t>
      </w:r>
      <w:r w:rsidRPr="006E451C">
        <w:rPr>
          <w:rFonts w:ascii="Times New Roman" w:hAnsi="Times New Roman" w:cs="Times New Roman"/>
          <w:sz w:val="24"/>
          <w:szCs w:val="24"/>
        </w:rPr>
        <w:t>régulation,</w:t>
      </w:r>
      <w:r w:rsidR="00FC4AF9">
        <w:rPr>
          <w:rFonts w:ascii="Times New Roman" w:hAnsi="Times New Roman" w:cs="Times New Roman"/>
          <w:sz w:val="24"/>
          <w:szCs w:val="24"/>
        </w:rPr>
        <w:t xml:space="preserve"> politique environnementale</w:t>
      </w:r>
      <w:r>
        <w:rPr>
          <w:rFonts w:ascii="Times New Roman" w:hAnsi="Times New Roman" w:cs="Times New Roman"/>
          <w:sz w:val="24"/>
          <w:szCs w:val="24"/>
        </w:rPr>
        <w:t>, usages, territoire, uranium</w:t>
      </w:r>
    </w:p>
    <w:p w:rsidR="00221B8E" w:rsidRDefault="00221B8E" w:rsidP="00E2354B">
      <w:pPr>
        <w:rPr>
          <w:rFonts w:ascii="Times New Roman" w:hAnsi="Times New Roman" w:cs="Times New Roman"/>
          <w:b/>
          <w:sz w:val="24"/>
          <w:szCs w:val="24"/>
        </w:rPr>
      </w:pPr>
    </w:p>
    <w:p w:rsidR="00221B8E" w:rsidRDefault="00435548" w:rsidP="00E2354B">
      <w:pPr>
        <w:rPr>
          <w:rFonts w:ascii="Times New Roman" w:hAnsi="Times New Roman" w:cs="Times New Roman"/>
          <w:b/>
          <w:sz w:val="24"/>
          <w:szCs w:val="24"/>
        </w:rPr>
      </w:pPr>
      <w:r>
        <w:rPr>
          <w:rFonts w:ascii="Times New Roman" w:hAnsi="Times New Roman" w:cs="Times New Roman"/>
          <w:b/>
          <w:sz w:val="24"/>
          <w:szCs w:val="24"/>
        </w:rPr>
        <w:t>JEL : Q5</w:t>
      </w:r>
    </w:p>
    <w:p w:rsidR="00221B8E" w:rsidRDefault="00221B8E" w:rsidP="00E2354B">
      <w:pPr>
        <w:rPr>
          <w:rFonts w:ascii="Times New Roman" w:hAnsi="Times New Roman" w:cs="Times New Roman"/>
          <w:b/>
          <w:sz w:val="24"/>
          <w:szCs w:val="24"/>
        </w:rPr>
      </w:pPr>
    </w:p>
    <w:p w:rsidR="00221B8E" w:rsidRDefault="00221B8E" w:rsidP="00E2354B">
      <w:pPr>
        <w:rPr>
          <w:rFonts w:ascii="Times New Roman" w:hAnsi="Times New Roman" w:cs="Times New Roman"/>
          <w:b/>
          <w:sz w:val="24"/>
          <w:szCs w:val="24"/>
        </w:rPr>
      </w:pPr>
    </w:p>
    <w:p w:rsidR="00221B8E" w:rsidRDefault="00221B8E" w:rsidP="00E2354B">
      <w:pPr>
        <w:rPr>
          <w:rFonts w:ascii="Times New Roman" w:hAnsi="Times New Roman" w:cs="Times New Roman"/>
          <w:b/>
          <w:sz w:val="24"/>
          <w:szCs w:val="24"/>
        </w:rPr>
      </w:pPr>
    </w:p>
    <w:p w:rsidR="00221B8E" w:rsidRDefault="00221B8E" w:rsidP="00E2354B">
      <w:pPr>
        <w:rPr>
          <w:rFonts w:ascii="Times New Roman" w:hAnsi="Times New Roman" w:cs="Times New Roman"/>
          <w:b/>
          <w:sz w:val="24"/>
          <w:szCs w:val="24"/>
        </w:rPr>
      </w:pPr>
    </w:p>
    <w:p w:rsidR="00221B8E" w:rsidRDefault="00221B8E" w:rsidP="00E2354B">
      <w:pPr>
        <w:rPr>
          <w:rFonts w:ascii="Times New Roman" w:hAnsi="Times New Roman" w:cs="Times New Roman"/>
          <w:b/>
          <w:sz w:val="24"/>
          <w:szCs w:val="24"/>
        </w:rPr>
      </w:pPr>
    </w:p>
    <w:p w:rsidR="00221B8E" w:rsidRDefault="00221B8E" w:rsidP="00E2354B">
      <w:pPr>
        <w:rPr>
          <w:rFonts w:ascii="Times New Roman" w:hAnsi="Times New Roman" w:cs="Times New Roman"/>
          <w:b/>
          <w:sz w:val="24"/>
          <w:szCs w:val="24"/>
        </w:rPr>
      </w:pPr>
    </w:p>
    <w:p w:rsidR="00221B8E" w:rsidRDefault="00221B8E" w:rsidP="00E2354B">
      <w:pPr>
        <w:rPr>
          <w:rFonts w:ascii="Times New Roman" w:hAnsi="Times New Roman" w:cs="Times New Roman"/>
          <w:b/>
          <w:sz w:val="24"/>
          <w:szCs w:val="24"/>
        </w:rPr>
      </w:pPr>
    </w:p>
    <w:p w:rsidR="00221B8E" w:rsidRDefault="00221B8E" w:rsidP="00E2354B">
      <w:pPr>
        <w:rPr>
          <w:rFonts w:ascii="Times New Roman" w:hAnsi="Times New Roman" w:cs="Times New Roman"/>
          <w:b/>
          <w:sz w:val="36"/>
          <w:szCs w:val="36"/>
        </w:rPr>
      </w:pPr>
      <w:r w:rsidRPr="00221B8E">
        <w:rPr>
          <w:rFonts w:ascii="Times New Roman" w:hAnsi="Times New Roman" w:cs="Times New Roman"/>
          <w:b/>
          <w:sz w:val="36"/>
          <w:szCs w:val="36"/>
        </w:rPr>
        <w:lastRenderedPageBreak/>
        <w:t>L</w:t>
      </w:r>
      <w:r w:rsidR="00E2354B" w:rsidRPr="00221B8E">
        <w:rPr>
          <w:rFonts w:ascii="Times New Roman" w:hAnsi="Times New Roman" w:cs="Times New Roman"/>
          <w:b/>
          <w:sz w:val="36"/>
          <w:szCs w:val="36"/>
        </w:rPr>
        <w:t>’évaluation de la politique environnementale entre régulation nationale let gestion locale</w:t>
      </w:r>
      <w:r w:rsidR="000253D7" w:rsidRPr="00221B8E">
        <w:rPr>
          <w:rFonts w:ascii="Times New Roman" w:hAnsi="Times New Roman" w:cs="Times New Roman"/>
          <w:b/>
          <w:sz w:val="36"/>
          <w:szCs w:val="36"/>
        </w:rPr>
        <w:t xml:space="preserve">. </w:t>
      </w:r>
    </w:p>
    <w:p w:rsidR="00E2354B" w:rsidRPr="00221B8E" w:rsidRDefault="00E2354B" w:rsidP="00E2354B">
      <w:pPr>
        <w:rPr>
          <w:rFonts w:ascii="Times New Roman" w:hAnsi="Times New Roman" w:cs="Times New Roman"/>
          <w:b/>
          <w:sz w:val="36"/>
          <w:szCs w:val="36"/>
        </w:rPr>
      </w:pPr>
      <w:r w:rsidRPr="00221B8E">
        <w:rPr>
          <w:rFonts w:ascii="Times New Roman" w:hAnsi="Times New Roman" w:cs="Times New Roman"/>
          <w:b/>
          <w:sz w:val="36"/>
          <w:szCs w:val="36"/>
        </w:rPr>
        <w:t>Le cas de</w:t>
      </w:r>
      <w:r w:rsidR="00221B8E">
        <w:rPr>
          <w:rFonts w:ascii="Times New Roman" w:hAnsi="Times New Roman" w:cs="Times New Roman"/>
          <w:b/>
          <w:sz w:val="36"/>
          <w:szCs w:val="36"/>
        </w:rPr>
        <w:t xml:space="preserve"> trois anciennes mines d’uranium française</w:t>
      </w:r>
      <w:r w:rsidRPr="00221B8E">
        <w:rPr>
          <w:rFonts w:ascii="Times New Roman" w:hAnsi="Times New Roman" w:cs="Times New Roman"/>
          <w:b/>
          <w:sz w:val="36"/>
          <w:szCs w:val="36"/>
        </w:rPr>
        <w:t xml:space="preserve">s </w:t>
      </w:r>
    </w:p>
    <w:p w:rsidR="00E2354B" w:rsidRDefault="00E2354B" w:rsidP="00CA0CFB">
      <w:pPr>
        <w:jc w:val="both"/>
        <w:rPr>
          <w:rFonts w:ascii="Times New Roman" w:hAnsi="Times New Roman" w:cs="Times New Roman"/>
          <w:sz w:val="24"/>
          <w:szCs w:val="24"/>
        </w:rPr>
      </w:pPr>
    </w:p>
    <w:p w:rsidR="00FC4BC4" w:rsidRDefault="00CA0CFB" w:rsidP="00DC7B27">
      <w:pPr>
        <w:spacing w:line="240" w:lineRule="auto"/>
        <w:jc w:val="both"/>
        <w:rPr>
          <w:rFonts w:ascii="Times New Roman" w:hAnsi="Times New Roman" w:cs="Times New Roman"/>
          <w:sz w:val="24"/>
          <w:szCs w:val="24"/>
        </w:rPr>
      </w:pPr>
      <w:r>
        <w:rPr>
          <w:rFonts w:ascii="Times New Roman" w:hAnsi="Times New Roman" w:cs="Times New Roman"/>
          <w:sz w:val="24"/>
          <w:szCs w:val="24"/>
        </w:rPr>
        <w:t>L’évaluation des politiques environnementale se dépl</w:t>
      </w:r>
      <w:r w:rsidR="002822AA">
        <w:rPr>
          <w:rFonts w:ascii="Times New Roman" w:hAnsi="Times New Roman" w:cs="Times New Roman"/>
          <w:sz w:val="24"/>
          <w:szCs w:val="24"/>
        </w:rPr>
        <w:t>o</w:t>
      </w:r>
      <w:r>
        <w:rPr>
          <w:rFonts w:ascii="Times New Roman" w:hAnsi="Times New Roman" w:cs="Times New Roman"/>
          <w:sz w:val="24"/>
          <w:szCs w:val="24"/>
        </w:rPr>
        <w:t xml:space="preserve">ie dans des contextes législatifs qui s’appuient sur la notion d’expertise et de dommage pour apprécier l’impact d’une activité industrielle. Cette forme de gestion de la politique environnementale renvoie à des formes de régulation initiées par le cadre légal qui décide de la norme à appliquer dans des contextes locaux. </w:t>
      </w:r>
      <w:r w:rsidR="00D555E8">
        <w:rPr>
          <w:rFonts w:ascii="Times New Roman" w:hAnsi="Times New Roman" w:cs="Times New Roman"/>
          <w:sz w:val="24"/>
          <w:szCs w:val="24"/>
        </w:rPr>
        <w:t xml:space="preserve">Comme le rappelle Soraya </w:t>
      </w:r>
      <w:proofErr w:type="spellStart"/>
      <w:r w:rsidR="00D555E8">
        <w:rPr>
          <w:rFonts w:ascii="Times New Roman" w:hAnsi="Times New Roman" w:cs="Times New Roman"/>
          <w:sz w:val="24"/>
          <w:szCs w:val="24"/>
        </w:rPr>
        <w:t>Boudia</w:t>
      </w:r>
      <w:proofErr w:type="spellEnd"/>
      <w:r w:rsidR="00D555E8">
        <w:rPr>
          <w:rFonts w:ascii="Times New Roman" w:hAnsi="Times New Roman" w:cs="Times New Roman"/>
          <w:sz w:val="24"/>
          <w:szCs w:val="24"/>
        </w:rPr>
        <w:t>, la prise en compte de l’environnement et son évaluation s’inscrivent dans le contexte des années 1960-1970. Dans « la construction des problèmes environnementaux globaux, les scientifiques, leurs théories et leurs instruments jouent un rôle déterminant » (</w:t>
      </w:r>
      <w:proofErr w:type="spellStart"/>
      <w:r w:rsidR="00D555E8">
        <w:rPr>
          <w:rFonts w:ascii="Times New Roman" w:hAnsi="Times New Roman" w:cs="Times New Roman"/>
          <w:sz w:val="24"/>
          <w:szCs w:val="24"/>
        </w:rPr>
        <w:t>Boudia</w:t>
      </w:r>
      <w:proofErr w:type="spellEnd"/>
      <w:r w:rsidR="00D555E8">
        <w:rPr>
          <w:rFonts w:ascii="Times New Roman" w:hAnsi="Times New Roman" w:cs="Times New Roman"/>
          <w:sz w:val="24"/>
          <w:szCs w:val="24"/>
        </w:rPr>
        <w:t xml:space="preserve">, 2015). </w:t>
      </w:r>
      <w:r w:rsidR="00C05408">
        <w:rPr>
          <w:rFonts w:ascii="Times New Roman" w:hAnsi="Times New Roman" w:cs="Times New Roman"/>
          <w:sz w:val="24"/>
          <w:szCs w:val="24"/>
        </w:rPr>
        <w:t>Néanmoins, le développement à l’échelle globale de l’environnement rencontre un certain nombre de limites, plus particulièrement dans l’évaluation des risques. Pour calculer des probabilités associées à des environnements, élaborer des scénarios, les experts doivent élaborer des chaines causales pour une déduire une évaluation globale. Patrick Peretti-</w:t>
      </w:r>
      <w:proofErr w:type="spellStart"/>
      <w:r w:rsidR="00C05408">
        <w:rPr>
          <w:rFonts w:ascii="Times New Roman" w:hAnsi="Times New Roman" w:cs="Times New Roman"/>
          <w:sz w:val="24"/>
          <w:szCs w:val="24"/>
        </w:rPr>
        <w:t>Watel</w:t>
      </w:r>
      <w:proofErr w:type="spellEnd"/>
      <w:r w:rsidR="00C05408">
        <w:rPr>
          <w:rFonts w:ascii="Times New Roman" w:hAnsi="Times New Roman" w:cs="Times New Roman"/>
          <w:sz w:val="24"/>
          <w:szCs w:val="24"/>
        </w:rPr>
        <w:t xml:space="preserve"> souligne que ces risques disqualifient la rationalité probabiliste et que l’évaluation du risque se mesure à l’aune d’un système de valeurs qui s’estiment menacés (Peretti-</w:t>
      </w:r>
      <w:proofErr w:type="spellStart"/>
      <w:r w:rsidR="00C05408">
        <w:rPr>
          <w:rFonts w:ascii="Times New Roman" w:hAnsi="Times New Roman" w:cs="Times New Roman"/>
          <w:sz w:val="24"/>
          <w:szCs w:val="24"/>
        </w:rPr>
        <w:t>Watel</w:t>
      </w:r>
      <w:proofErr w:type="spellEnd"/>
      <w:r w:rsidR="00C05408">
        <w:rPr>
          <w:rFonts w:ascii="Times New Roman" w:hAnsi="Times New Roman" w:cs="Times New Roman"/>
          <w:sz w:val="24"/>
          <w:szCs w:val="24"/>
        </w:rPr>
        <w:t xml:space="preserve">, 2000). Par ailleurs, la prise en compte du risque environnemental présente cette singularité de concerner des populations inégales du point de vue de la répartition du capital économique. </w:t>
      </w:r>
      <w:r w:rsidR="00FC4BC4">
        <w:rPr>
          <w:rFonts w:ascii="Times New Roman" w:hAnsi="Times New Roman" w:cs="Times New Roman"/>
          <w:sz w:val="24"/>
          <w:szCs w:val="24"/>
        </w:rPr>
        <w:t>Cet élément renvoie à la façon dont des acteurs dans un environnement donné vont apprécier l’usage du territoire et la valeur du foncier. Ainsi</w:t>
      </w:r>
      <w:r>
        <w:rPr>
          <w:rFonts w:ascii="Times New Roman" w:hAnsi="Times New Roman" w:cs="Times New Roman"/>
          <w:sz w:val="24"/>
          <w:szCs w:val="24"/>
        </w:rPr>
        <w:t xml:space="preserve">, dans le cas d’activités </w:t>
      </w:r>
      <w:r w:rsidR="00FC4BC4">
        <w:rPr>
          <w:rFonts w:ascii="Times New Roman" w:hAnsi="Times New Roman" w:cs="Times New Roman"/>
          <w:sz w:val="24"/>
          <w:szCs w:val="24"/>
        </w:rPr>
        <w:t xml:space="preserve">industrielles </w:t>
      </w:r>
      <w:r>
        <w:rPr>
          <w:rFonts w:ascii="Times New Roman" w:hAnsi="Times New Roman" w:cs="Times New Roman"/>
          <w:sz w:val="24"/>
          <w:szCs w:val="24"/>
        </w:rPr>
        <w:t>révolues cette évaluation se heur</w:t>
      </w:r>
      <w:r w:rsidR="002461A3">
        <w:rPr>
          <w:rFonts w:ascii="Times New Roman" w:hAnsi="Times New Roman" w:cs="Times New Roman"/>
          <w:sz w:val="24"/>
          <w:szCs w:val="24"/>
        </w:rPr>
        <w:t>t</w:t>
      </w:r>
      <w:r>
        <w:rPr>
          <w:rFonts w:ascii="Times New Roman" w:hAnsi="Times New Roman" w:cs="Times New Roman"/>
          <w:sz w:val="24"/>
          <w:szCs w:val="24"/>
        </w:rPr>
        <w:t>e potentiellement à des formes d’usage du territoire, voire des négociations locales qui participent à apprécier différemment les dommages cré</w:t>
      </w:r>
      <w:r w:rsidR="00221B8E">
        <w:rPr>
          <w:rFonts w:ascii="Times New Roman" w:hAnsi="Times New Roman" w:cs="Times New Roman"/>
          <w:sz w:val="24"/>
          <w:szCs w:val="24"/>
        </w:rPr>
        <w:t>é</w:t>
      </w:r>
      <w:r>
        <w:rPr>
          <w:rFonts w:ascii="Times New Roman" w:hAnsi="Times New Roman" w:cs="Times New Roman"/>
          <w:sz w:val="24"/>
          <w:szCs w:val="24"/>
        </w:rPr>
        <w:t>s par une industrie et la part de risque qui lui est associé. Cette contribution propose d’analyser la déclinaison d’un politique environnementale concernant les anciennes mines d’uranium française</w:t>
      </w:r>
      <w:r w:rsidR="00524F35">
        <w:rPr>
          <w:rFonts w:ascii="Times New Roman" w:hAnsi="Times New Roman" w:cs="Times New Roman"/>
          <w:sz w:val="24"/>
          <w:szCs w:val="24"/>
        </w:rPr>
        <w:t>.</w:t>
      </w:r>
      <w:r>
        <w:rPr>
          <w:rFonts w:ascii="Times New Roman" w:hAnsi="Times New Roman" w:cs="Times New Roman"/>
          <w:sz w:val="24"/>
          <w:szCs w:val="24"/>
        </w:rPr>
        <w:t xml:space="preserve"> Il s’</w:t>
      </w:r>
      <w:r w:rsidR="00A00C07">
        <w:rPr>
          <w:rFonts w:ascii="Times New Roman" w:hAnsi="Times New Roman" w:cs="Times New Roman"/>
          <w:sz w:val="24"/>
          <w:szCs w:val="24"/>
        </w:rPr>
        <w:t>a</w:t>
      </w:r>
      <w:r>
        <w:rPr>
          <w:rFonts w:ascii="Times New Roman" w:hAnsi="Times New Roman" w:cs="Times New Roman"/>
          <w:sz w:val="24"/>
          <w:szCs w:val="24"/>
        </w:rPr>
        <w:t xml:space="preserve">git plus particulièrement </w:t>
      </w:r>
      <w:r w:rsidR="00E915E9">
        <w:rPr>
          <w:rFonts w:ascii="Times New Roman" w:hAnsi="Times New Roman" w:cs="Times New Roman"/>
          <w:sz w:val="24"/>
          <w:szCs w:val="24"/>
        </w:rPr>
        <w:t>d’observer le rôle du territoire et des configurations héritées</w:t>
      </w:r>
      <w:r w:rsidR="00FC4BC4">
        <w:rPr>
          <w:rFonts w:ascii="Times New Roman" w:hAnsi="Times New Roman" w:cs="Times New Roman"/>
          <w:sz w:val="24"/>
          <w:szCs w:val="24"/>
        </w:rPr>
        <w:t xml:space="preserve"> </w:t>
      </w:r>
      <w:r w:rsidR="0008255F">
        <w:rPr>
          <w:rFonts w:ascii="Times New Roman" w:hAnsi="Times New Roman" w:cs="Times New Roman"/>
          <w:sz w:val="24"/>
          <w:szCs w:val="24"/>
        </w:rPr>
        <w:t>(</w:t>
      </w:r>
      <w:proofErr w:type="spellStart"/>
      <w:r w:rsidR="0008255F">
        <w:rPr>
          <w:rFonts w:ascii="Times New Roman" w:hAnsi="Times New Roman" w:cs="Times New Roman"/>
          <w:sz w:val="24"/>
          <w:szCs w:val="24"/>
        </w:rPr>
        <w:t>Labussière</w:t>
      </w:r>
      <w:proofErr w:type="spellEnd"/>
      <w:r w:rsidR="0008255F">
        <w:rPr>
          <w:rFonts w:ascii="Times New Roman" w:hAnsi="Times New Roman" w:cs="Times New Roman"/>
          <w:sz w:val="24"/>
          <w:szCs w:val="24"/>
        </w:rPr>
        <w:t xml:space="preserve"> et </w:t>
      </w:r>
      <w:proofErr w:type="spellStart"/>
      <w:r w:rsidR="0008255F">
        <w:rPr>
          <w:rFonts w:ascii="Times New Roman" w:hAnsi="Times New Roman" w:cs="Times New Roman"/>
          <w:sz w:val="24"/>
          <w:szCs w:val="24"/>
        </w:rPr>
        <w:t>Nadai</w:t>
      </w:r>
      <w:proofErr w:type="spellEnd"/>
      <w:r w:rsidR="0008255F">
        <w:rPr>
          <w:rFonts w:ascii="Times New Roman" w:hAnsi="Times New Roman" w:cs="Times New Roman"/>
          <w:sz w:val="24"/>
          <w:szCs w:val="24"/>
        </w:rPr>
        <w:t xml:space="preserve">, 2015) </w:t>
      </w:r>
      <w:r w:rsidR="00FC4BC4">
        <w:rPr>
          <w:rFonts w:ascii="Times New Roman" w:hAnsi="Times New Roman" w:cs="Times New Roman"/>
          <w:sz w:val="24"/>
          <w:szCs w:val="24"/>
        </w:rPr>
        <w:t>dans l’évaluation environnementale. Comment dans un contexte de réaménagement  et de gestion globale de l’environnement, les représentations et les usages du territoire vont-ils contribuer à différencier fortement les modalités de gestion des sites ?</w:t>
      </w:r>
    </w:p>
    <w:p w:rsidR="00FC4BC4" w:rsidRDefault="00FC4BC4" w:rsidP="00DC7B27">
      <w:pPr>
        <w:spacing w:line="240" w:lineRule="auto"/>
        <w:jc w:val="both"/>
        <w:rPr>
          <w:rFonts w:ascii="Times New Roman" w:hAnsi="Times New Roman" w:cs="Times New Roman"/>
          <w:sz w:val="24"/>
          <w:szCs w:val="24"/>
        </w:rPr>
      </w:pPr>
      <w:r>
        <w:rPr>
          <w:rFonts w:ascii="Times New Roman" w:hAnsi="Times New Roman" w:cs="Times New Roman"/>
          <w:sz w:val="24"/>
          <w:szCs w:val="24"/>
        </w:rPr>
        <w:t>La première partie présente le contexte d’une gestion environnementale entre régulation nationale et déclinaison locale.</w:t>
      </w:r>
    </w:p>
    <w:p w:rsidR="00CA0CFB" w:rsidRPr="00B850EB" w:rsidRDefault="00FC4BC4" w:rsidP="00DC7B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 deuxième partie s’appuie sur trois études de cas pour présenter des configurations de sites.      </w:t>
      </w:r>
      <w:r w:rsidR="00CA0CFB">
        <w:rPr>
          <w:rFonts w:ascii="Times New Roman" w:hAnsi="Times New Roman" w:cs="Times New Roman"/>
          <w:sz w:val="24"/>
          <w:szCs w:val="24"/>
        </w:rPr>
        <w:t xml:space="preserve"> </w:t>
      </w:r>
    </w:p>
    <w:p w:rsidR="00E2354B" w:rsidRPr="00B850EB" w:rsidRDefault="00E2354B" w:rsidP="00DC7B27">
      <w:pPr>
        <w:spacing w:line="240" w:lineRule="auto"/>
        <w:rPr>
          <w:rFonts w:ascii="Times New Roman" w:hAnsi="Times New Roman" w:cs="Times New Roman"/>
          <w:sz w:val="24"/>
          <w:szCs w:val="24"/>
        </w:rPr>
      </w:pPr>
    </w:p>
    <w:p w:rsidR="00D0519B" w:rsidRPr="000253D7" w:rsidRDefault="00F22F38" w:rsidP="00DC7B27">
      <w:pPr>
        <w:spacing w:line="240" w:lineRule="auto"/>
        <w:jc w:val="both"/>
        <w:rPr>
          <w:rFonts w:ascii="Times New Roman" w:hAnsi="Times New Roman" w:cs="Times New Roman"/>
          <w:b/>
          <w:sz w:val="24"/>
          <w:szCs w:val="24"/>
        </w:rPr>
      </w:pPr>
      <w:r w:rsidRPr="000253D7">
        <w:rPr>
          <w:rFonts w:ascii="Times New Roman" w:hAnsi="Times New Roman" w:cs="Times New Roman"/>
          <w:b/>
          <w:sz w:val="24"/>
          <w:szCs w:val="24"/>
        </w:rPr>
        <w:t>1 La gestion environnementale : le paradoxe d’une régulation nationale appliquée aux terri</w:t>
      </w:r>
      <w:r w:rsidR="00F03721" w:rsidRPr="000253D7">
        <w:rPr>
          <w:rFonts w:ascii="Times New Roman" w:hAnsi="Times New Roman" w:cs="Times New Roman"/>
          <w:b/>
          <w:sz w:val="24"/>
          <w:szCs w:val="24"/>
        </w:rPr>
        <w:t>t</w:t>
      </w:r>
      <w:r w:rsidRPr="000253D7">
        <w:rPr>
          <w:rFonts w:ascii="Times New Roman" w:hAnsi="Times New Roman" w:cs="Times New Roman"/>
          <w:b/>
          <w:sz w:val="24"/>
          <w:szCs w:val="24"/>
        </w:rPr>
        <w:t>oires</w:t>
      </w:r>
    </w:p>
    <w:p w:rsidR="007E77FF" w:rsidRPr="000253D7" w:rsidRDefault="00D0519B" w:rsidP="00DC7B27">
      <w:pPr>
        <w:pStyle w:val="Paragraphedeliste"/>
        <w:numPr>
          <w:ilvl w:val="1"/>
          <w:numId w:val="2"/>
        </w:numPr>
        <w:spacing w:line="240" w:lineRule="auto"/>
        <w:jc w:val="both"/>
        <w:rPr>
          <w:rFonts w:ascii="Times New Roman" w:hAnsi="Times New Roman" w:cs="Times New Roman"/>
          <w:b/>
          <w:sz w:val="24"/>
          <w:szCs w:val="24"/>
        </w:rPr>
      </w:pPr>
      <w:r w:rsidRPr="000253D7">
        <w:rPr>
          <w:rFonts w:ascii="Times New Roman" w:hAnsi="Times New Roman" w:cs="Times New Roman"/>
          <w:b/>
          <w:sz w:val="24"/>
          <w:szCs w:val="24"/>
        </w:rPr>
        <w:t xml:space="preserve">Le détour par l’histoire pour appréhender le rapport global/local </w:t>
      </w:r>
      <w:r w:rsidR="00F22F38" w:rsidRPr="000253D7">
        <w:rPr>
          <w:rFonts w:ascii="Times New Roman" w:hAnsi="Times New Roman" w:cs="Times New Roman"/>
          <w:b/>
          <w:sz w:val="24"/>
          <w:szCs w:val="24"/>
        </w:rPr>
        <w:t xml:space="preserve">  </w:t>
      </w:r>
    </w:p>
    <w:p w:rsidR="008E44B2" w:rsidRPr="00B850EB" w:rsidRDefault="00CF666F" w:rsidP="00DC7B27">
      <w:pPr>
        <w:spacing w:line="240" w:lineRule="auto"/>
        <w:jc w:val="both"/>
        <w:rPr>
          <w:rFonts w:ascii="Times New Roman" w:hAnsi="Times New Roman" w:cs="Times New Roman"/>
          <w:sz w:val="24"/>
          <w:szCs w:val="24"/>
        </w:rPr>
      </w:pPr>
      <w:r w:rsidRPr="00B850EB">
        <w:rPr>
          <w:rFonts w:ascii="Times New Roman" w:hAnsi="Times New Roman" w:cs="Times New Roman"/>
          <w:sz w:val="24"/>
          <w:szCs w:val="24"/>
        </w:rPr>
        <w:t>La façon dont les sociétés prennent en charge la question de l’environnement met en jeu des transactions entre les différents acteurs sociaux qui y participent. Depuis le XIXème siècle, le traitement juridique du risque industriel s’inscrit dans une politique de sécurité publique définie par l’Etat et organisée autour de la gestion des nuisances (</w:t>
      </w:r>
      <w:proofErr w:type="spellStart"/>
      <w:r w:rsidRPr="00B850EB">
        <w:rPr>
          <w:rFonts w:ascii="Times New Roman" w:hAnsi="Times New Roman" w:cs="Times New Roman"/>
          <w:sz w:val="24"/>
          <w:szCs w:val="24"/>
        </w:rPr>
        <w:t>Fressoz</w:t>
      </w:r>
      <w:proofErr w:type="spellEnd"/>
      <w:r w:rsidRPr="00B850EB">
        <w:rPr>
          <w:rFonts w:ascii="Times New Roman" w:hAnsi="Times New Roman" w:cs="Times New Roman"/>
          <w:sz w:val="24"/>
          <w:szCs w:val="24"/>
        </w:rPr>
        <w:t xml:space="preserve">, </w:t>
      </w:r>
      <w:proofErr w:type="spellStart"/>
      <w:r w:rsidRPr="00B850EB">
        <w:rPr>
          <w:rFonts w:ascii="Times New Roman" w:hAnsi="Times New Roman" w:cs="Times New Roman"/>
          <w:sz w:val="24"/>
          <w:szCs w:val="24"/>
        </w:rPr>
        <w:t>Bonneuil</w:t>
      </w:r>
      <w:proofErr w:type="spellEnd"/>
      <w:r w:rsidRPr="00B850EB">
        <w:rPr>
          <w:rFonts w:ascii="Times New Roman" w:hAnsi="Times New Roman" w:cs="Times New Roman"/>
          <w:sz w:val="24"/>
          <w:szCs w:val="24"/>
        </w:rPr>
        <w:t xml:space="preserve">, 2013). </w:t>
      </w:r>
      <w:r w:rsidRPr="00B850EB">
        <w:rPr>
          <w:rFonts w:ascii="Times New Roman" w:hAnsi="Times New Roman" w:cs="Times New Roman"/>
          <w:sz w:val="24"/>
          <w:szCs w:val="24"/>
        </w:rPr>
        <w:lastRenderedPageBreak/>
        <w:t xml:space="preserve">Sur le long terme, ces modalités de gestion ont évolué avec la montée en expertise des associations et leur part croissante dans la mise à l’agenda des questions d’environnement. Cette évolution traduit l’importance accrue des régulations </w:t>
      </w:r>
      <w:r w:rsidR="000D17D0">
        <w:rPr>
          <w:rFonts w:ascii="Times New Roman" w:hAnsi="Times New Roman" w:cs="Times New Roman"/>
          <w:sz w:val="24"/>
          <w:szCs w:val="24"/>
        </w:rPr>
        <w:t>(Reynaud, 1989)</w:t>
      </w:r>
      <w:r w:rsidRPr="00B850EB">
        <w:rPr>
          <w:rFonts w:ascii="Times New Roman" w:hAnsi="Times New Roman" w:cs="Times New Roman"/>
          <w:sz w:val="24"/>
          <w:szCs w:val="24"/>
        </w:rPr>
        <w:t xml:space="preserve"> en matière d’environnement mais elle révèle également l</w:t>
      </w:r>
      <w:r w:rsidR="00F22F38">
        <w:rPr>
          <w:rFonts w:ascii="Times New Roman" w:hAnsi="Times New Roman" w:cs="Times New Roman"/>
          <w:sz w:val="24"/>
          <w:szCs w:val="24"/>
        </w:rPr>
        <w:t>a coexistence de forme d’arrangements locaux dans la prise en compte de l’usage des territoires</w:t>
      </w:r>
      <w:r w:rsidRPr="00B850EB">
        <w:rPr>
          <w:rFonts w:ascii="Times New Roman" w:hAnsi="Times New Roman" w:cs="Times New Roman"/>
          <w:sz w:val="24"/>
          <w:szCs w:val="24"/>
        </w:rPr>
        <w:t>.</w:t>
      </w:r>
    </w:p>
    <w:p w:rsidR="00B328F7" w:rsidRPr="00B850EB" w:rsidRDefault="00D450FF" w:rsidP="00DC7B27">
      <w:pPr>
        <w:spacing w:line="240" w:lineRule="auto"/>
        <w:jc w:val="both"/>
        <w:rPr>
          <w:rFonts w:ascii="Times New Roman" w:hAnsi="Times New Roman" w:cs="Times New Roman"/>
          <w:sz w:val="24"/>
          <w:szCs w:val="24"/>
        </w:rPr>
      </w:pPr>
      <w:r w:rsidRPr="00B850EB">
        <w:rPr>
          <w:rFonts w:ascii="Times New Roman" w:hAnsi="Times New Roman" w:cs="Times New Roman"/>
          <w:sz w:val="24"/>
          <w:szCs w:val="24"/>
        </w:rPr>
        <w:t xml:space="preserve">Dans une perspective historique, Jean-Baptiste </w:t>
      </w:r>
      <w:proofErr w:type="spellStart"/>
      <w:r w:rsidRPr="00B850EB">
        <w:rPr>
          <w:rFonts w:ascii="Times New Roman" w:hAnsi="Times New Roman" w:cs="Times New Roman"/>
          <w:sz w:val="24"/>
          <w:szCs w:val="24"/>
        </w:rPr>
        <w:t>Fressoz</w:t>
      </w:r>
      <w:proofErr w:type="spellEnd"/>
      <w:r w:rsidRPr="00B850EB">
        <w:rPr>
          <w:rFonts w:ascii="Times New Roman" w:hAnsi="Times New Roman" w:cs="Times New Roman"/>
          <w:sz w:val="24"/>
          <w:szCs w:val="24"/>
        </w:rPr>
        <w:t xml:space="preserve"> </w:t>
      </w:r>
      <w:r w:rsidR="0099027D" w:rsidRPr="00B850EB">
        <w:rPr>
          <w:rFonts w:ascii="Times New Roman" w:hAnsi="Times New Roman" w:cs="Times New Roman"/>
          <w:sz w:val="24"/>
          <w:szCs w:val="24"/>
        </w:rPr>
        <w:t>(2012)</w:t>
      </w:r>
      <w:r w:rsidR="00A71E55" w:rsidRPr="00B850EB">
        <w:rPr>
          <w:rFonts w:ascii="Times New Roman" w:hAnsi="Times New Roman" w:cs="Times New Roman"/>
          <w:sz w:val="24"/>
          <w:szCs w:val="24"/>
        </w:rPr>
        <w:t xml:space="preserve"> </w:t>
      </w:r>
      <w:r w:rsidRPr="00B850EB">
        <w:rPr>
          <w:rFonts w:ascii="Times New Roman" w:hAnsi="Times New Roman" w:cs="Times New Roman"/>
          <w:sz w:val="24"/>
          <w:szCs w:val="24"/>
        </w:rPr>
        <w:t xml:space="preserve">rappelle le rôle de la technique et du développement industriel dans la remise en cause des modes de régulation des environnements qui prévalent dans l’ancien régime. </w:t>
      </w:r>
      <w:r w:rsidR="00241FE0" w:rsidRPr="00B850EB">
        <w:rPr>
          <w:rFonts w:ascii="Times New Roman" w:hAnsi="Times New Roman" w:cs="Times New Roman"/>
          <w:sz w:val="24"/>
          <w:szCs w:val="24"/>
        </w:rPr>
        <w:t>Jusqu’au XIXème siècle, l</w:t>
      </w:r>
      <w:r w:rsidR="003C2CE2" w:rsidRPr="00B850EB">
        <w:rPr>
          <w:rFonts w:ascii="Times New Roman" w:hAnsi="Times New Roman" w:cs="Times New Roman"/>
          <w:sz w:val="24"/>
          <w:szCs w:val="24"/>
        </w:rPr>
        <w:t>es jurisprudences corporatives, les coutumes, les précédents judiciaires et l’exemplarité du passé donnent une consistance historique aux décisions qui concernent l’usage de la nature. « Un nouveau régime s’impose à la fin du XVIIIème siècle et au début du siècle suivant : les innovations techniques et les savoirs naturalistes prennent le pas sur les savoirs incorporés dans les coutumes et les communautés de métier »</w:t>
      </w:r>
      <w:r w:rsidR="0099027D" w:rsidRPr="00B850EB">
        <w:rPr>
          <w:rFonts w:ascii="Times New Roman" w:hAnsi="Times New Roman" w:cs="Times New Roman"/>
          <w:sz w:val="24"/>
          <w:szCs w:val="24"/>
        </w:rPr>
        <w:t xml:space="preserve"> (</w:t>
      </w:r>
      <w:proofErr w:type="spellStart"/>
      <w:r w:rsidR="0099027D" w:rsidRPr="00B850EB">
        <w:rPr>
          <w:rFonts w:ascii="Times New Roman" w:hAnsi="Times New Roman" w:cs="Times New Roman"/>
          <w:sz w:val="24"/>
          <w:szCs w:val="24"/>
        </w:rPr>
        <w:t>Fressoz</w:t>
      </w:r>
      <w:proofErr w:type="spellEnd"/>
      <w:r w:rsidR="0099027D" w:rsidRPr="00B850EB">
        <w:rPr>
          <w:rFonts w:ascii="Times New Roman" w:hAnsi="Times New Roman" w:cs="Times New Roman"/>
          <w:sz w:val="24"/>
          <w:szCs w:val="24"/>
        </w:rPr>
        <w:t xml:space="preserve">, </w:t>
      </w:r>
      <w:r w:rsidR="00A71E55" w:rsidRPr="00B850EB">
        <w:rPr>
          <w:rFonts w:ascii="Times New Roman" w:hAnsi="Times New Roman" w:cs="Times New Roman"/>
          <w:sz w:val="24"/>
          <w:szCs w:val="24"/>
        </w:rPr>
        <w:t xml:space="preserve">2012, </w:t>
      </w:r>
      <w:r w:rsidR="0099027D" w:rsidRPr="00B850EB">
        <w:rPr>
          <w:rFonts w:ascii="Times New Roman" w:hAnsi="Times New Roman" w:cs="Times New Roman"/>
          <w:sz w:val="24"/>
          <w:szCs w:val="24"/>
        </w:rPr>
        <w:t>p147)</w:t>
      </w:r>
      <w:r w:rsidR="003C2CE2" w:rsidRPr="00B850EB">
        <w:rPr>
          <w:rFonts w:ascii="Times New Roman" w:hAnsi="Times New Roman" w:cs="Times New Roman"/>
          <w:sz w:val="24"/>
          <w:szCs w:val="24"/>
        </w:rPr>
        <w:t xml:space="preserve">. </w:t>
      </w:r>
      <w:r w:rsidR="00420FFA" w:rsidRPr="00B850EB">
        <w:rPr>
          <w:rFonts w:ascii="Times New Roman" w:hAnsi="Times New Roman" w:cs="Times New Roman"/>
          <w:sz w:val="24"/>
          <w:szCs w:val="24"/>
        </w:rPr>
        <w:t xml:space="preserve">Le décret de 1810 opère dans ce cadre une rupture au sens où </w:t>
      </w:r>
      <w:r w:rsidR="006937E6" w:rsidRPr="00B850EB">
        <w:rPr>
          <w:rFonts w:ascii="Times New Roman" w:hAnsi="Times New Roman" w:cs="Times New Roman"/>
          <w:sz w:val="24"/>
          <w:szCs w:val="24"/>
        </w:rPr>
        <w:t xml:space="preserve">il initie une pratique normative fondée sur l’expertise savante plus que </w:t>
      </w:r>
      <w:r w:rsidR="00E95FEF" w:rsidRPr="00B850EB">
        <w:rPr>
          <w:rFonts w:ascii="Times New Roman" w:hAnsi="Times New Roman" w:cs="Times New Roman"/>
          <w:sz w:val="24"/>
          <w:szCs w:val="24"/>
        </w:rPr>
        <w:t>sur l</w:t>
      </w:r>
      <w:r w:rsidR="006937E6" w:rsidRPr="00B850EB">
        <w:rPr>
          <w:rFonts w:ascii="Times New Roman" w:hAnsi="Times New Roman" w:cs="Times New Roman"/>
          <w:sz w:val="24"/>
          <w:szCs w:val="24"/>
        </w:rPr>
        <w:t>’expertise</w:t>
      </w:r>
      <w:r w:rsidR="003C2CE2" w:rsidRPr="00B850EB">
        <w:rPr>
          <w:rFonts w:ascii="Times New Roman" w:hAnsi="Times New Roman" w:cs="Times New Roman"/>
          <w:sz w:val="24"/>
          <w:szCs w:val="24"/>
        </w:rPr>
        <w:t xml:space="preserve"> </w:t>
      </w:r>
      <w:r w:rsidR="006937E6" w:rsidRPr="00B850EB">
        <w:rPr>
          <w:rFonts w:ascii="Times New Roman" w:hAnsi="Times New Roman" w:cs="Times New Roman"/>
          <w:sz w:val="24"/>
          <w:szCs w:val="24"/>
        </w:rPr>
        <w:t>juridique passée.</w:t>
      </w:r>
      <w:r w:rsidR="003C2CE2" w:rsidRPr="00B850EB">
        <w:rPr>
          <w:rFonts w:ascii="Times New Roman" w:hAnsi="Times New Roman" w:cs="Times New Roman"/>
          <w:sz w:val="24"/>
          <w:szCs w:val="24"/>
        </w:rPr>
        <w:t xml:space="preserve"> </w:t>
      </w:r>
      <w:r w:rsidR="00E95FEF" w:rsidRPr="00B850EB">
        <w:rPr>
          <w:rFonts w:ascii="Times New Roman" w:hAnsi="Times New Roman" w:cs="Times New Roman"/>
          <w:sz w:val="24"/>
          <w:szCs w:val="24"/>
        </w:rPr>
        <w:t>Ce tournant opéré dans la gestion de l’environnement  a des conséquences directes sur la prise en charge des effets locaux dans la mesure où elle régule à un niveau national </w:t>
      </w:r>
      <w:r w:rsidR="0099027D" w:rsidRPr="00B850EB">
        <w:rPr>
          <w:rFonts w:ascii="Times New Roman" w:hAnsi="Times New Roman" w:cs="Times New Roman"/>
          <w:sz w:val="24"/>
          <w:szCs w:val="24"/>
        </w:rPr>
        <w:t>les nuisances</w:t>
      </w:r>
      <w:r w:rsidR="00E95FEF" w:rsidRPr="00B850EB">
        <w:rPr>
          <w:rFonts w:ascii="Times New Roman" w:hAnsi="Times New Roman" w:cs="Times New Roman"/>
          <w:sz w:val="24"/>
          <w:szCs w:val="24"/>
        </w:rPr>
        <w:t xml:space="preserve"> dans l’intérêt du développement industriel. </w:t>
      </w:r>
      <w:r w:rsidR="0099027D" w:rsidRPr="00B850EB">
        <w:rPr>
          <w:rFonts w:ascii="Times New Roman" w:hAnsi="Times New Roman" w:cs="Times New Roman"/>
          <w:sz w:val="24"/>
          <w:szCs w:val="24"/>
        </w:rPr>
        <w:t xml:space="preserve">Cette industrialisation </w:t>
      </w:r>
      <w:r w:rsidR="00A71E55" w:rsidRPr="00B850EB">
        <w:rPr>
          <w:rFonts w:ascii="Times New Roman" w:hAnsi="Times New Roman" w:cs="Times New Roman"/>
          <w:sz w:val="24"/>
          <w:szCs w:val="24"/>
        </w:rPr>
        <w:t>associée à</w:t>
      </w:r>
      <w:r w:rsidR="0099027D" w:rsidRPr="00B850EB">
        <w:rPr>
          <w:rFonts w:ascii="Times New Roman" w:hAnsi="Times New Roman" w:cs="Times New Roman"/>
          <w:sz w:val="24"/>
          <w:szCs w:val="24"/>
        </w:rPr>
        <w:t xml:space="preserve"> la transformation des choses environnantes</w:t>
      </w:r>
      <w:r w:rsidR="00A71E55" w:rsidRPr="00B850EB">
        <w:rPr>
          <w:rFonts w:ascii="Times New Roman" w:hAnsi="Times New Roman" w:cs="Times New Roman"/>
          <w:sz w:val="24"/>
          <w:szCs w:val="24"/>
        </w:rPr>
        <w:t xml:space="preserve"> participe à faire émerger une expertise savante en lieu et place de l’expérience juridique passée : « l’émergence de l’expertise pour définir les bonnes pratiques productives, les bons usages de la nature ainsi que le dangereux et l’insalubre s’inscrit dans un changement d’historicité plus large que les pratiques de gouvernement : dorénavant, le </w:t>
      </w:r>
      <w:r w:rsidR="00524F35">
        <w:rPr>
          <w:rFonts w:ascii="Times New Roman" w:hAnsi="Times New Roman" w:cs="Times New Roman"/>
          <w:sz w:val="24"/>
          <w:szCs w:val="24"/>
        </w:rPr>
        <w:t>vrai</w:t>
      </w:r>
      <w:r w:rsidR="00524F35" w:rsidRPr="00B850EB">
        <w:rPr>
          <w:rFonts w:ascii="Times New Roman" w:hAnsi="Times New Roman" w:cs="Times New Roman"/>
          <w:sz w:val="24"/>
          <w:szCs w:val="24"/>
        </w:rPr>
        <w:t xml:space="preserve"> </w:t>
      </w:r>
      <w:r w:rsidR="00A71E55" w:rsidRPr="00B850EB">
        <w:rPr>
          <w:rFonts w:ascii="Times New Roman" w:hAnsi="Times New Roman" w:cs="Times New Roman"/>
          <w:sz w:val="24"/>
          <w:szCs w:val="24"/>
        </w:rPr>
        <w:t>procède de l’actuel » (</w:t>
      </w:r>
      <w:proofErr w:type="spellStart"/>
      <w:r w:rsidR="00A71E55" w:rsidRPr="00B850EB">
        <w:rPr>
          <w:rFonts w:ascii="Times New Roman" w:hAnsi="Times New Roman" w:cs="Times New Roman"/>
          <w:sz w:val="24"/>
          <w:szCs w:val="24"/>
        </w:rPr>
        <w:t>Fressoz</w:t>
      </w:r>
      <w:proofErr w:type="spellEnd"/>
      <w:r w:rsidR="00A71E55" w:rsidRPr="00B850EB">
        <w:rPr>
          <w:rFonts w:ascii="Times New Roman" w:hAnsi="Times New Roman" w:cs="Times New Roman"/>
          <w:sz w:val="24"/>
          <w:szCs w:val="24"/>
        </w:rPr>
        <w:t>, 2012, p148).</w:t>
      </w:r>
      <w:r w:rsidR="00F44DA5" w:rsidRPr="00B850EB">
        <w:rPr>
          <w:rFonts w:ascii="Times New Roman" w:hAnsi="Times New Roman" w:cs="Times New Roman"/>
          <w:sz w:val="24"/>
          <w:szCs w:val="24"/>
        </w:rPr>
        <w:t xml:space="preserve"> La période historique mobilisée par </w:t>
      </w:r>
      <w:proofErr w:type="spellStart"/>
      <w:r w:rsidR="00F44DA5" w:rsidRPr="00B850EB">
        <w:rPr>
          <w:rFonts w:ascii="Times New Roman" w:hAnsi="Times New Roman" w:cs="Times New Roman"/>
          <w:sz w:val="24"/>
          <w:szCs w:val="24"/>
        </w:rPr>
        <w:t>Fressoz</w:t>
      </w:r>
      <w:proofErr w:type="spellEnd"/>
      <w:r w:rsidR="00F44DA5" w:rsidRPr="00B850EB">
        <w:rPr>
          <w:rFonts w:ascii="Times New Roman" w:hAnsi="Times New Roman" w:cs="Times New Roman"/>
          <w:sz w:val="24"/>
          <w:szCs w:val="24"/>
        </w:rPr>
        <w:t xml:space="preserve"> pour rendre compte des logiques qui accompagnent le développement industriel est particulièrement heuristique pour appréhender les paramètres contemporains </w:t>
      </w:r>
      <w:r w:rsidR="00B64DEE" w:rsidRPr="00B850EB">
        <w:rPr>
          <w:rFonts w:ascii="Times New Roman" w:hAnsi="Times New Roman" w:cs="Times New Roman"/>
          <w:sz w:val="24"/>
          <w:szCs w:val="24"/>
        </w:rPr>
        <w:t xml:space="preserve">d’une gestion de l’environnement. En effet, deux logiques sont au cœur de ces processus. D’une part, une logique experte et savante s’approprie depuis le XIXème siècle la gestion de l’environnement dans une perspective centralisatrice </w:t>
      </w:r>
      <w:r w:rsidR="00165BBF" w:rsidRPr="00B850EB">
        <w:rPr>
          <w:rFonts w:ascii="Times New Roman" w:hAnsi="Times New Roman" w:cs="Times New Roman"/>
          <w:sz w:val="24"/>
          <w:szCs w:val="24"/>
        </w:rPr>
        <w:t xml:space="preserve">et pro-industrielle </w:t>
      </w:r>
      <w:r w:rsidR="00B64DEE" w:rsidRPr="00B850EB">
        <w:rPr>
          <w:rFonts w:ascii="Times New Roman" w:hAnsi="Times New Roman" w:cs="Times New Roman"/>
          <w:sz w:val="24"/>
          <w:szCs w:val="24"/>
        </w:rPr>
        <w:t xml:space="preserve">et d’autre part, </w:t>
      </w:r>
      <w:r w:rsidR="00B328F7" w:rsidRPr="00B850EB">
        <w:rPr>
          <w:rFonts w:ascii="Times New Roman" w:hAnsi="Times New Roman" w:cs="Times New Roman"/>
          <w:sz w:val="24"/>
          <w:szCs w:val="24"/>
        </w:rPr>
        <w:t xml:space="preserve">historiquement, la prise en charge des nuisances prend sa source dans des polices locales dont la logique repose sur la prise en compte du passé et des usages </w:t>
      </w:r>
      <w:r w:rsidR="00165BBF" w:rsidRPr="00B850EB">
        <w:rPr>
          <w:rFonts w:ascii="Times New Roman" w:hAnsi="Times New Roman" w:cs="Times New Roman"/>
          <w:sz w:val="24"/>
          <w:szCs w:val="24"/>
        </w:rPr>
        <w:t>territoriaux</w:t>
      </w:r>
      <w:r w:rsidR="00B328F7" w:rsidRPr="00B850EB">
        <w:rPr>
          <w:rFonts w:ascii="Times New Roman" w:hAnsi="Times New Roman" w:cs="Times New Roman"/>
          <w:sz w:val="24"/>
          <w:szCs w:val="24"/>
        </w:rPr>
        <w:t>.</w:t>
      </w:r>
    </w:p>
    <w:p w:rsidR="003578FE" w:rsidRDefault="00B328F7" w:rsidP="00DC7B27">
      <w:pPr>
        <w:spacing w:line="240" w:lineRule="auto"/>
        <w:jc w:val="both"/>
        <w:rPr>
          <w:rFonts w:ascii="Times New Roman" w:hAnsi="Times New Roman" w:cs="Times New Roman"/>
          <w:sz w:val="24"/>
          <w:szCs w:val="24"/>
        </w:rPr>
      </w:pPr>
      <w:r w:rsidRPr="00B850EB">
        <w:rPr>
          <w:rFonts w:ascii="Times New Roman" w:hAnsi="Times New Roman" w:cs="Times New Roman"/>
          <w:sz w:val="24"/>
          <w:szCs w:val="24"/>
        </w:rPr>
        <w:t xml:space="preserve">Ce détour par l’histoire permet de mieux saisir les enjeux contemporains d’une évaluation environnementale. </w:t>
      </w:r>
      <w:r w:rsidR="003578FE">
        <w:rPr>
          <w:rFonts w:ascii="Times New Roman" w:hAnsi="Times New Roman" w:cs="Times New Roman"/>
          <w:sz w:val="24"/>
          <w:szCs w:val="24"/>
        </w:rPr>
        <w:t>Ce</w:t>
      </w:r>
      <w:r w:rsidR="00165BBF" w:rsidRPr="00B850EB">
        <w:rPr>
          <w:rFonts w:ascii="Times New Roman" w:hAnsi="Times New Roman" w:cs="Times New Roman"/>
          <w:sz w:val="24"/>
          <w:szCs w:val="24"/>
        </w:rPr>
        <w:t>lle-ci met en exergue un paradoxe : l’édiction de normes de protection unilatérales rencontre des situations locales différentes qui requièrent aménagement et pondération.</w:t>
      </w:r>
      <w:r w:rsidRPr="00B850EB">
        <w:rPr>
          <w:rFonts w:ascii="Times New Roman" w:hAnsi="Times New Roman" w:cs="Times New Roman"/>
          <w:sz w:val="24"/>
          <w:szCs w:val="24"/>
        </w:rPr>
        <w:t xml:space="preserve"> </w:t>
      </w:r>
      <w:r w:rsidR="00D06D76">
        <w:rPr>
          <w:rFonts w:ascii="Times New Roman" w:hAnsi="Times New Roman" w:cs="Times New Roman"/>
          <w:sz w:val="24"/>
          <w:szCs w:val="24"/>
        </w:rPr>
        <w:t xml:space="preserve">En effet, les modalités de gestion industrielle d’un site génèrent des héritages qui produisent par la suite des formes de </w:t>
      </w:r>
      <w:proofErr w:type="gramStart"/>
      <w:r w:rsidR="00D06D76">
        <w:rPr>
          <w:rFonts w:ascii="Times New Roman" w:hAnsi="Times New Roman" w:cs="Times New Roman"/>
          <w:sz w:val="24"/>
          <w:szCs w:val="24"/>
        </w:rPr>
        <w:t>régulation fort différentes</w:t>
      </w:r>
      <w:proofErr w:type="gramEnd"/>
      <w:r w:rsidR="00D06D76">
        <w:rPr>
          <w:rFonts w:ascii="Times New Roman" w:hAnsi="Times New Roman" w:cs="Times New Roman"/>
          <w:sz w:val="24"/>
          <w:szCs w:val="24"/>
        </w:rPr>
        <w:t xml:space="preserve"> en fonction des territoires. </w:t>
      </w:r>
      <w:r w:rsidR="00CF009A" w:rsidRPr="00B850EB">
        <w:rPr>
          <w:rFonts w:ascii="Times New Roman" w:hAnsi="Times New Roman" w:cs="Times New Roman"/>
          <w:sz w:val="24"/>
          <w:szCs w:val="24"/>
        </w:rPr>
        <w:t>C’est précisément ce paradoxe qu</w:t>
      </w:r>
      <w:r w:rsidR="00D236EB" w:rsidRPr="00B850EB">
        <w:rPr>
          <w:rFonts w:ascii="Times New Roman" w:hAnsi="Times New Roman" w:cs="Times New Roman"/>
          <w:sz w:val="24"/>
          <w:szCs w:val="24"/>
        </w:rPr>
        <w:t>’</w:t>
      </w:r>
      <w:r w:rsidR="00CF009A" w:rsidRPr="00B850EB">
        <w:rPr>
          <w:rFonts w:ascii="Times New Roman" w:hAnsi="Times New Roman" w:cs="Times New Roman"/>
          <w:sz w:val="24"/>
          <w:szCs w:val="24"/>
        </w:rPr>
        <w:t xml:space="preserve">il semble intéressant de </w:t>
      </w:r>
      <w:r w:rsidR="00452891">
        <w:rPr>
          <w:rFonts w:ascii="Times New Roman" w:hAnsi="Times New Roman" w:cs="Times New Roman"/>
          <w:sz w:val="24"/>
          <w:szCs w:val="24"/>
        </w:rPr>
        <w:t>développer.</w:t>
      </w:r>
    </w:p>
    <w:p w:rsidR="00196AAB" w:rsidRPr="00A00C07" w:rsidRDefault="00452891" w:rsidP="00DC7B27">
      <w:pPr>
        <w:spacing w:line="240" w:lineRule="auto"/>
        <w:jc w:val="both"/>
        <w:rPr>
          <w:rFonts w:ascii="Times New Roman" w:hAnsi="Times New Roman" w:cs="Times New Roman"/>
          <w:b/>
          <w:sz w:val="24"/>
          <w:szCs w:val="24"/>
        </w:rPr>
      </w:pPr>
      <w:r w:rsidRPr="00A00C07">
        <w:rPr>
          <w:rFonts w:ascii="Times New Roman" w:hAnsi="Times New Roman" w:cs="Times New Roman"/>
          <w:b/>
          <w:sz w:val="24"/>
          <w:szCs w:val="24"/>
        </w:rPr>
        <w:t xml:space="preserve">1-2. </w:t>
      </w:r>
      <w:r w:rsidR="00D236EB" w:rsidRPr="00A00C07">
        <w:rPr>
          <w:rFonts w:ascii="Times New Roman" w:hAnsi="Times New Roman" w:cs="Times New Roman"/>
          <w:b/>
          <w:sz w:val="24"/>
          <w:szCs w:val="24"/>
        </w:rPr>
        <w:t xml:space="preserve"> </w:t>
      </w:r>
      <w:r w:rsidR="003578FE" w:rsidRPr="00A00C07">
        <w:rPr>
          <w:rFonts w:ascii="Times New Roman" w:hAnsi="Times New Roman" w:cs="Times New Roman"/>
          <w:b/>
          <w:sz w:val="24"/>
          <w:szCs w:val="24"/>
        </w:rPr>
        <w:t>Le rapport entre risque environnemental et territoire</w:t>
      </w:r>
    </w:p>
    <w:p w:rsidR="002822AA" w:rsidRDefault="003578FE" w:rsidP="00DC7B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Dans le cadre des risques environnementaux, la valeur d’un territoire peut s’avérer plurielle en fonction de la qualification du dommage </w:t>
      </w:r>
      <w:r w:rsidR="000B6777">
        <w:rPr>
          <w:rFonts w:ascii="Times New Roman" w:hAnsi="Times New Roman" w:cs="Times New Roman"/>
          <w:sz w:val="24"/>
          <w:szCs w:val="24"/>
        </w:rPr>
        <w:t xml:space="preserve">perçu </w:t>
      </w:r>
      <w:r>
        <w:rPr>
          <w:rFonts w:ascii="Times New Roman" w:hAnsi="Times New Roman" w:cs="Times New Roman"/>
          <w:sz w:val="24"/>
          <w:szCs w:val="24"/>
        </w:rPr>
        <w:t>sur l’espace initial. D’une part, un territoire soumis à un risque peut être perçu comme répu</w:t>
      </w:r>
      <w:r w:rsidR="00B538B3">
        <w:rPr>
          <w:rFonts w:ascii="Times New Roman" w:hAnsi="Times New Roman" w:cs="Times New Roman"/>
          <w:sz w:val="24"/>
          <w:szCs w:val="24"/>
        </w:rPr>
        <w:t>l</w:t>
      </w:r>
      <w:r>
        <w:rPr>
          <w:rFonts w:ascii="Times New Roman" w:hAnsi="Times New Roman" w:cs="Times New Roman"/>
          <w:sz w:val="24"/>
          <w:szCs w:val="24"/>
        </w:rPr>
        <w:t>sif</w:t>
      </w:r>
      <w:r w:rsidR="00B538B3">
        <w:rPr>
          <w:rFonts w:ascii="Times New Roman" w:hAnsi="Times New Roman" w:cs="Times New Roman"/>
          <w:sz w:val="24"/>
          <w:szCs w:val="24"/>
        </w:rPr>
        <w:t xml:space="preserve"> dans le cas par exemple de risques qui affectent un site touristique mais il peut retrouver une nouvelle attractivité au regard d’un prix du foncier inférieur à celui constaté dans des territoires voisins (Dauphiné, </w:t>
      </w:r>
      <w:proofErr w:type="spellStart"/>
      <w:r w:rsidR="00B538B3">
        <w:rPr>
          <w:rFonts w:ascii="Times New Roman" w:hAnsi="Times New Roman" w:cs="Times New Roman"/>
          <w:sz w:val="24"/>
          <w:szCs w:val="24"/>
        </w:rPr>
        <w:t>Provitolo</w:t>
      </w:r>
      <w:proofErr w:type="spellEnd"/>
      <w:r w:rsidR="00B538B3">
        <w:rPr>
          <w:rFonts w:ascii="Times New Roman" w:hAnsi="Times New Roman" w:cs="Times New Roman"/>
          <w:sz w:val="24"/>
          <w:szCs w:val="24"/>
        </w:rPr>
        <w:t>, 2013)</w:t>
      </w:r>
      <w:r w:rsidR="000B6777">
        <w:rPr>
          <w:rFonts w:ascii="Times New Roman" w:hAnsi="Times New Roman" w:cs="Times New Roman"/>
          <w:sz w:val="24"/>
          <w:szCs w:val="24"/>
        </w:rPr>
        <w:t>. Les interactions entre les risques et les territoires sont ainsi à double sens. Si la notion de risque dévalue le territoire qui l’affecte, cette règle souffre de nombreuses exceptions lorsque les résidents ou les acteurs politiques défendent l’usage du territoire</w:t>
      </w:r>
      <w:r w:rsidR="0039113D">
        <w:rPr>
          <w:rFonts w:ascii="Times New Roman" w:hAnsi="Times New Roman" w:cs="Times New Roman"/>
          <w:sz w:val="24"/>
          <w:szCs w:val="24"/>
        </w:rPr>
        <w:t xml:space="preserve"> indépendamment du risque qu’il comporte</w:t>
      </w:r>
      <w:r w:rsidR="000B6777">
        <w:rPr>
          <w:rFonts w:ascii="Times New Roman" w:hAnsi="Times New Roman" w:cs="Times New Roman"/>
          <w:sz w:val="24"/>
          <w:szCs w:val="24"/>
        </w:rPr>
        <w:t xml:space="preserve">. </w:t>
      </w:r>
      <w:r w:rsidR="00F03721">
        <w:rPr>
          <w:rFonts w:ascii="Times New Roman" w:hAnsi="Times New Roman" w:cs="Times New Roman"/>
          <w:sz w:val="24"/>
          <w:szCs w:val="24"/>
        </w:rPr>
        <w:t xml:space="preserve">Les travaux de Fournis et Fortin appliqués aux ressources naturelles au Canada met plus particulièrement en lumière les dimensions à la quelle se heurte la gestion </w:t>
      </w:r>
      <w:r w:rsidR="00F03721">
        <w:rPr>
          <w:rFonts w:ascii="Times New Roman" w:hAnsi="Times New Roman" w:cs="Times New Roman"/>
          <w:sz w:val="24"/>
          <w:szCs w:val="24"/>
        </w:rPr>
        <w:lastRenderedPageBreak/>
        <w:t>environnementale</w:t>
      </w:r>
      <w:r w:rsidR="006D064F">
        <w:rPr>
          <w:rFonts w:ascii="Times New Roman" w:hAnsi="Times New Roman" w:cs="Times New Roman"/>
          <w:sz w:val="24"/>
          <w:szCs w:val="24"/>
        </w:rPr>
        <w:t xml:space="preserve"> (Fournis et Fortin, 2015)</w:t>
      </w:r>
      <w:r w:rsidR="00F03721">
        <w:rPr>
          <w:rFonts w:ascii="Times New Roman" w:hAnsi="Times New Roman" w:cs="Times New Roman"/>
          <w:sz w:val="24"/>
          <w:szCs w:val="24"/>
        </w:rPr>
        <w:t>. Tout d’abord, les régimes de ressources s’inscrivent dans un héritage institutionnel d’une économie qui assure la prééminence de régulations économiques orientées vers l’international.</w:t>
      </w:r>
      <w:r w:rsidR="000B6777">
        <w:rPr>
          <w:rFonts w:ascii="Times New Roman" w:hAnsi="Times New Roman" w:cs="Times New Roman"/>
          <w:sz w:val="24"/>
          <w:szCs w:val="24"/>
        </w:rPr>
        <w:t xml:space="preserve"> </w:t>
      </w:r>
      <w:r w:rsidR="00F03721">
        <w:rPr>
          <w:rFonts w:ascii="Times New Roman" w:hAnsi="Times New Roman" w:cs="Times New Roman"/>
          <w:sz w:val="24"/>
          <w:szCs w:val="24"/>
        </w:rPr>
        <w:t>Par ailleurs, les politiques publiques s</w:t>
      </w:r>
      <w:r w:rsidR="006D064F">
        <w:rPr>
          <w:rFonts w:ascii="Times New Roman" w:hAnsi="Times New Roman" w:cs="Times New Roman"/>
          <w:sz w:val="24"/>
          <w:szCs w:val="24"/>
        </w:rPr>
        <w:t>e développent</w:t>
      </w:r>
      <w:r w:rsidR="00F03721">
        <w:rPr>
          <w:rFonts w:ascii="Times New Roman" w:hAnsi="Times New Roman" w:cs="Times New Roman"/>
          <w:sz w:val="24"/>
          <w:szCs w:val="24"/>
        </w:rPr>
        <w:t xml:space="preserve"> dans des contextes qui tout en stabilisant les mécanismes de l’exploitation fo</w:t>
      </w:r>
      <w:r w:rsidR="006D064F">
        <w:rPr>
          <w:rFonts w:ascii="Times New Roman" w:hAnsi="Times New Roman" w:cs="Times New Roman"/>
          <w:sz w:val="24"/>
          <w:szCs w:val="24"/>
        </w:rPr>
        <w:t>u</w:t>
      </w:r>
      <w:r w:rsidR="00F03721">
        <w:rPr>
          <w:rFonts w:ascii="Times New Roman" w:hAnsi="Times New Roman" w:cs="Times New Roman"/>
          <w:sz w:val="24"/>
          <w:szCs w:val="24"/>
        </w:rPr>
        <w:t>rnissent des inflexions et des marges de manœuvre aux acteurs qui les saisissent. Enfin, au sein de territoires, ces régimes fournissent des espaces aux acteurs locaux pour questionner le sens des projets techniques en cours ou révolus</w:t>
      </w:r>
      <w:r w:rsidR="004067F0">
        <w:rPr>
          <w:rFonts w:ascii="Times New Roman" w:hAnsi="Times New Roman" w:cs="Times New Roman"/>
          <w:sz w:val="24"/>
          <w:szCs w:val="24"/>
        </w:rPr>
        <w:t>.</w:t>
      </w:r>
      <w:r w:rsidR="00F03721">
        <w:rPr>
          <w:rFonts w:ascii="Times New Roman" w:hAnsi="Times New Roman" w:cs="Times New Roman"/>
          <w:sz w:val="24"/>
          <w:szCs w:val="24"/>
        </w:rPr>
        <w:t xml:space="preserve"> </w:t>
      </w:r>
      <w:r w:rsidR="006D064F">
        <w:rPr>
          <w:rFonts w:ascii="Times New Roman" w:hAnsi="Times New Roman" w:cs="Times New Roman"/>
          <w:sz w:val="24"/>
          <w:szCs w:val="24"/>
        </w:rPr>
        <w:t xml:space="preserve">Les auteurs invitent à prendre en compte deux phénomènes contradictoires et qui sont souvent dissociés dans la littérature. Le premier est fondé sur </w:t>
      </w:r>
      <w:r w:rsidR="0068666D">
        <w:rPr>
          <w:rFonts w:ascii="Times New Roman" w:hAnsi="Times New Roman" w:cs="Times New Roman"/>
          <w:sz w:val="24"/>
          <w:szCs w:val="24"/>
        </w:rPr>
        <w:t xml:space="preserve">l’entrepreneuriat local qui favorise un dynamisme économique et social au sein de la communauté et le second piloté par de grandes entreprises multinationales rassemblant des ressources technologiques et capitalistiques extérieures à la communauté. </w:t>
      </w:r>
      <w:r w:rsidR="002822AA">
        <w:rPr>
          <w:rFonts w:ascii="Times New Roman" w:hAnsi="Times New Roman" w:cs="Times New Roman"/>
          <w:sz w:val="24"/>
          <w:szCs w:val="24"/>
        </w:rPr>
        <w:t xml:space="preserve">Cette double approche, historique et en terme de régies de ressources s’avère féconde pour analyser l’évaluation d’un politique environnementale à l’aune d’une activité industrielle révolue. En effet, la notion de ressources s’avère fluctuante et redéfinie en fonction de l’usage du territoire et l’histoire de la gestion de la nuisance est un élément important dans la prise en compte du risque environnemental.   </w:t>
      </w:r>
    </w:p>
    <w:p w:rsidR="003578FE" w:rsidRPr="00B850EB" w:rsidRDefault="002822AA" w:rsidP="00DC7B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666D">
        <w:rPr>
          <w:rFonts w:ascii="Times New Roman" w:hAnsi="Times New Roman" w:cs="Times New Roman"/>
          <w:sz w:val="24"/>
          <w:szCs w:val="24"/>
        </w:rPr>
        <w:t xml:space="preserve"> </w:t>
      </w:r>
      <w:r w:rsidR="00F03721">
        <w:rPr>
          <w:rFonts w:ascii="Times New Roman" w:hAnsi="Times New Roman" w:cs="Times New Roman"/>
          <w:sz w:val="24"/>
          <w:szCs w:val="24"/>
        </w:rPr>
        <w:t xml:space="preserve"> </w:t>
      </w:r>
      <w:r w:rsidR="003578FE">
        <w:rPr>
          <w:rFonts w:ascii="Times New Roman" w:hAnsi="Times New Roman" w:cs="Times New Roman"/>
          <w:sz w:val="24"/>
          <w:szCs w:val="24"/>
        </w:rPr>
        <w:t xml:space="preserve">  </w:t>
      </w:r>
    </w:p>
    <w:p w:rsidR="002822AA" w:rsidRDefault="00F72099" w:rsidP="00DC7B27">
      <w:pPr>
        <w:spacing w:line="240" w:lineRule="auto"/>
        <w:jc w:val="both"/>
        <w:rPr>
          <w:rFonts w:ascii="Times New Roman" w:hAnsi="Times New Roman" w:cs="Times New Roman"/>
          <w:b/>
          <w:sz w:val="24"/>
          <w:szCs w:val="24"/>
        </w:rPr>
      </w:pPr>
      <w:r>
        <w:rPr>
          <w:rFonts w:ascii="Times New Roman" w:hAnsi="Times New Roman" w:cs="Times New Roman"/>
          <w:b/>
          <w:sz w:val="24"/>
          <w:szCs w:val="24"/>
        </w:rPr>
        <w:t>1.3</w:t>
      </w:r>
      <w:r w:rsidR="00D0519B" w:rsidRPr="000253D7">
        <w:rPr>
          <w:rFonts w:ascii="Times New Roman" w:hAnsi="Times New Roman" w:cs="Times New Roman"/>
          <w:b/>
          <w:sz w:val="24"/>
          <w:szCs w:val="24"/>
        </w:rPr>
        <w:t>- L’exemple des territoires uranifères : la gestion environnementale à l’épreuve des usages locaux</w:t>
      </w:r>
    </w:p>
    <w:p w:rsidR="00596A11" w:rsidRDefault="00306F54" w:rsidP="00DC7B27">
      <w:pPr>
        <w:spacing w:line="240" w:lineRule="auto"/>
        <w:jc w:val="both"/>
        <w:rPr>
          <w:rFonts w:ascii="Times New Roman" w:hAnsi="Times New Roman" w:cs="Times New Roman"/>
          <w:sz w:val="24"/>
          <w:szCs w:val="24"/>
        </w:rPr>
      </w:pPr>
      <w:r>
        <w:rPr>
          <w:rFonts w:ascii="Times New Roman" w:hAnsi="Times New Roman" w:cs="Times New Roman"/>
          <w:sz w:val="24"/>
          <w:szCs w:val="24"/>
        </w:rPr>
        <w:t>Les</w:t>
      </w:r>
      <w:r w:rsidR="002822AA" w:rsidRPr="002822AA">
        <w:rPr>
          <w:rFonts w:ascii="Times New Roman" w:hAnsi="Times New Roman" w:cs="Times New Roman"/>
          <w:sz w:val="24"/>
          <w:szCs w:val="24"/>
        </w:rPr>
        <w:t xml:space="preserve"> mines d’uranium constitue</w:t>
      </w:r>
      <w:r>
        <w:rPr>
          <w:rFonts w:ascii="Times New Roman" w:hAnsi="Times New Roman" w:cs="Times New Roman"/>
          <w:sz w:val="24"/>
          <w:szCs w:val="24"/>
        </w:rPr>
        <w:t>nt</w:t>
      </w:r>
      <w:r w:rsidR="002822AA" w:rsidRPr="002822AA">
        <w:rPr>
          <w:rFonts w:ascii="Times New Roman" w:hAnsi="Times New Roman" w:cs="Times New Roman"/>
          <w:sz w:val="24"/>
          <w:szCs w:val="24"/>
        </w:rPr>
        <w:t xml:space="preserve"> un </w:t>
      </w:r>
      <w:r w:rsidR="002822AA">
        <w:rPr>
          <w:rFonts w:ascii="Times New Roman" w:hAnsi="Times New Roman" w:cs="Times New Roman"/>
          <w:sz w:val="24"/>
          <w:szCs w:val="24"/>
        </w:rPr>
        <w:t xml:space="preserve">exemple </w:t>
      </w:r>
      <w:r w:rsidR="002822AA" w:rsidRPr="002822AA">
        <w:rPr>
          <w:rFonts w:ascii="Times New Roman" w:hAnsi="Times New Roman" w:cs="Times New Roman"/>
          <w:sz w:val="24"/>
          <w:szCs w:val="24"/>
        </w:rPr>
        <w:t>heuristique pour appréhender les tensions que génèr</w:t>
      </w:r>
      <w:r w:rsidR="00596A11">
        <w:rPr>
          <w:rFonts w:ascii="Times New Roman" w:hAnsi="Times New Roman" w:cs="Times New Roman"/>
          <w:sz w:val="24"/>
          <w:szCs w:val="24"/>
        </w:rPr>
        <w:t>e</w:t>
      </w:r>
      <w:r w:rsidR="002822AA" w:rsidRPr="002822AA">
        <w:rPr>
          <w:rFonts w:ascii="Times New Roman" w:hAnsi="Times New Roman" w:cs="Times New Roman"/>
          <w:sz w:val="24"/>
          <w:szCs w:val="24"/>
        </w:rPr>
        <w:t xml:space="preserve"> une définition globale de la polit</w:t>
      </w:r>
      <w:r w:rsidR="002822AA">
        <w:rPr>
          <w:rFonts w:ascii="Times New Roman" w:hAnsi="Times New Roman" w:cs="Times New Roman"/>
          <w:sz w:val="24"/>
          <w:szCs w:val="24"/>
        </w:rPr>
        <w:t>i</w:t>
      </w:r>
      <w:r w:rsidR="002822AA" w:rsidRPr="002822AA">
        <w:rPr>
          <w:rFonts w:ascii="Times New Roman" w:hAnsi="Times New Roman" w:cs="Times New Roman"/>
          <w:sz w:val="24"/>
          <w:szCs w:val="24"/>
        </w:rPr>
        <w:t>que environ</w:t>
      </w:r>
      <w:r w:rsidR="002822AA">
        <w:rPr>
          <w:rFonts w:ascii="Times New Roman" w:hAnsi="Times New Roman" w:cs="Times New Roman"/>
          <w:sz w:val="24"/>
          <w:szCs w:val="24"/>
        </w:rPr>
        <w:t>nemen</w:t>
      </w:r>
      <w:r w:rsidR="002822AA" w:rsidRPr="002822AA">
        <w:rPr>
          <w:rFonts w:ascii="Times New Roman" w:hAnsi="Times New Roman" w:cs="Times New Roman"/>
          <w:sz w:val="24"/>
          <w:szCs w:val="24"/>
        </w:rPr>
        <w:t xml:space="preserve">tale et ses modalités locales de gestion. </w:t>
      </w:r>
      <w:r w:rsidR="00196AAB" w:rsidRPr="00B850EB">
        <w:rPr>
          <w:rFonts w:ascii="Times New Roman" w:hAnsi="Times New Roman" w:cs="Times New Roman"/>
          <w:sz w:val="24"/>
          <w:szCs w:val="24"/>
        </w:rPr>
        <w:t xml:space="preserve">En France, l’industrie d’extraction d’uranium constitue un héritage a- typique dont la gestion environnementale sur la période récente suscite polémiques, conflits et controverses d’intensité plus ou moins fortes. Cette situation rend compte de l’héritage d’une industrie déployée dans un contexte de stratégie nationale mais dont l’impact sur les territoires s’est </w:t>
      </w:r>
      <w:r w:rsidR="00E64799" w:rsidRPr="00B850EB">
        <w:rPr>
          <w:rFonts w:ascii="Times New Roman" w:hAnsi="Times New Roman" w:cs="Times New Roman"/>
          <w:sz w:val="24"/>
          <w:szCs w:val="24"/>
        </w:rPr>
        <w:t>avérée différenciée et fortement dépendante des rapports sociaux locaux entre l’industriel et les parties prenantes locales.</w:t>
      </w:r>
      <w:r w:rsidR="00B850EB" w:rsidRPr="00B850EB">
        <w:rPr>
          <w:rFonts w:ascii="Times New Roman" w:hAnsi="Times New Roman" w:cs="Times New Roman"/>
          <w:sz w:val="24"/>
          <w:szCs w:val="24"/>
        </w:rPr>
        <w:t xml:space="preserve"> </w:t>
      </w:r>
    </w:p>
    <w:p w:rsidR="00B850EB" w:rsidRPr="00B850EB" w:rsidRDefault="00B850EB" w:rsidP="00DC7B27">
      <w:pPr>
        <w:spacing w:line="240" w:lineRule="auto"/>
        <w:jc w:val="both"/>
        <w:rPr>
          <w:rFonts w:ascii="Times New Roman" w:hAnsi="Times New Roman" w:cs="Times New Roman"/>
          <w:sz w:val="24"/>
          <w:szCs w:val="24"/>
        </w:rPr>
      </w:pPr>
      <w:r w:rsidRPr="00B850EB">
        <w:rPr>
          <w:rFonts w:ascii="Times New Roman" w:hAnsi="Times New Roman" w:cs="Times New Roman"/>
          <w:sz w:val="24"/>
          <w:szCs w:val="24"/>
        </w:rPr>
        <w:t>L’exploitation de l’uranium en France débute au lendemain de la seconde guerre mondiale et disparaît au tout début des années 2000 en raison de sa trop faible rentabilité économique.</w:t>
      </w:r>
      <w:r>
        <w:rPr>
          <w:rFonts w:ascii="Times New Roman" w:hAnsi="Times New Roman" w:cs="Times New Roman"/>
          <w:sz w:val="24"/>
          <w:szCs w:val="24"/>
        </w:rPr>
        <w:t xml:space="preserve"> </w:t>
      </w:r>
      <w:r w:rsidRPr="00B850EB">
        <w:rPr>
          <w:rFonts w:ascii="Times New Roman" w:hAnsi="Times New Roman" w:cs="Times New Roman"/>
          <w:sz w:val="24"/>
          <w:szCs w:val="24"/>
        </w:rPr>
        <w:t xml:space="preserve">Pendant toute cette période, les campagnes françaises ont été arpentées, investiguées, mesurées et de nombreux chantiers exploratoires ont été ouverts répartis sur </w:t>
      </w:r>
      <w:r w:rsidR="001C17E7">
        <w:rPr>
          <w:rFonts w:ascii="Times New Roman" w:hAnsi="Times New Roman" w:cs="Times New Roman"/>
          <w:sz w:val="24"/>
          <w:szCs w:val="24"/>
        </w:rPr>
        <w:t>vingt-cinq</w:t>
      </w:r>
      <w:r w:rsidRPr="00B850EB">
        <w:rPr>
          <w:rFonts w:ascii="Times New Roman" w:hAnsi="Times New Roman" w:cs="Times New Roman"/>
          <w:sz w:val="24"/>
          <w:szCs w:val="24"/>
        </w:rPr>
        <w:t xml:space="preserve"> départements </w:t>
      </w:r>
      <w:r w:rsidR="001C17E7">
        <w:rPr>
          <w:rFonts w:ascii="Times New Roman" w:hAnsi="Times New Roman" w:cs="Times New Roman"/>
          <w:sz w:val="24"/>
          <w:szCs w:val="24"/>
        </w:rPr>
        <w:t>(</w:t>
      </w:r>
      <w:r w:rsidRPr="00B850EB">
        <w:rPr>
          <w:rFonts w:ascii="Times New Roman" w:hAnsi="Times New Roman" w:cs="Times New Roman"/>
          <w:sz w:val="24"/>
          <w:szCs w:val="24"/>
        </w:rPr>
        <w:t xml:space="preserve">Hecht 2016). Plus de </w:t>
      </w:r>
      <w:r w:rsidR="001C17E7">
        <w:rPr>
          <w:rFonts w:ascii="Times New Roman" w:hAnsi="Times New Roman" w:cs="Times New Roman"/>
          <w:sz w:val="24"/>
          <w:szCs w:val="24"/>
        </w:rPr>
        <w:t xml:space="preserve">deux cent </w:t>
      </w:r>
      <w:r w:rsidRPr="00B850EB">
        <w:rPr>
          <w:rFonts w:ascii="Times New Roman" w:hAnsi="Times New Roman" w:cs="Times New Roman"/>
          <w:sz w:val="24"/>
          <w:szCs w:val="24"/>
        </w:rPr>
        <w:t xml:space="preserve">sites sont répertoriés allant de la simple tranchée d’où aucun minerai n’a été extrait aux sites les plus importants du Limousin (Brunet 2004), de la Vendée et du Forez. En raison des faibles teneurs du minerai, cette industrie a laissé derrière elle plus de </w:t>
      </w:r>
      <w:r w:rsidR="001C17E7">
        <w:rPr>
          <w:rFonts w:ascii="Times New Roman" w:hAnsi="Times New Roman" w:cs="Times New Roman"/>
          <w:sz w:val="24"/>
          <w:szCs w:val="24"/>
        </w:rPr>
        <w:t>deux cent</w:t>
      </w:r>
      <w:r w:rsidRPr="00B850EB">
        <w:rPr>
          <w:rFonts w:ascii="Times New Roman" w:hAnsi="Times New Roman" w:cs="Times New Roman"/>
          <w:sz w:val="24"/>
          <w:szCs w:val="24"/>
        </w:rPr>
        <w:t xml:space="preserve"> millions de tonnes de stériles plus ou moins radioactifs et environ </w:t>
      </w:r>
      <w:r w:rsidR="001C17E7">
        <w:rPr>
          <w:rFonts w:ascii="Times New Roman" w:hAnsi="Times New Roman" w:cs="Times New Roman"/>
          <w:sz w:val="24"/>
          <w:szCs w:val="24"/>
        </w:rPr>
        <w:t xml:space="preserve">cinquante </w:t>
      </w:r>
      <w:r w:rsidRPr="00B850EB">
        <w:rPr>
          <w:rFonts w:ascii="Times New Roman" w:hAnsi="Times New Roman" w:cs="Times New Roman"/>
          <w:sz w:val="24"/>
          <w:szCs w:val="24"/>
        </w:rPr>
        <w:t>millions de tonnes de résidus de traitement du minerai qui renferment près de 90% de la radioactivité initiale.</w:t>
      </w:r>
      <w:r w:rsidR="00306F54">
        <w:rPr>
          <w:rFonts w:ascii="Times New Roman" w:hAnsi="Times New Roman" w:cs="Times New Roman"/>
          <w:sz w:val="24"/>
          <w:szCs w:val="24"/>
        </w:rPr>
        <w:t xml:space="preserve"> </w:t>
      </w:r>
      <w:r w:rsidRPr="00B850EB">
        <w:rPr>
          <w:rFonts w:ascii="Times New Roman" w:hAnsi="Times New Roman" w:cs="Times New Roman"/>
          <w:sz w:val="24"/>
          <w:szCs w:val="24"/>
        </w:rPr>
        <w:t>Ces anciennes mines constituent un héritage complexe avec de forts enjeux sociaux, sanitaires et environnementaux qui, dès le début des années 80, ont nécessité un important travail d’expertise technique mené conjointement entre l’administration et l’exploitant pour définir les conditions d’un réaménagement préservant l’Homme et l’environnement (</w:t>
      </w:r>
      <w:r w:rsidR="001C17E7">
        <w:rPr>
          <w:rFonts w:ascii="Times New Roman" w:hAnsi="Times New Roman" w:cs="Times New Roman"/>
          <w:sz w:val="24"/>
          <w:szCs w:val="24"/>
        </w:rPr>
        <w:t>R</w:t>
      </w:r>
      <w:r w:rsidRPr="00B850EB">
        <w:rPr>
          <w:rFonts w:ascii="Times New Roman" w:hAnsi="Times New Roman" w:cs="Times New Roman"/>
          <w:sz w:val="24"/>
          <w:szCs w:val="24"/>
        </w:rPr>
        <w:t>apport GEP Limousin, 2010). C’est précisément à cette époque que survient en 1986 la catastrophe de Tchernobyl qui va susciter en France une immense polémique sur sa gestion par les organismes de l’Etat en charge de la sécurité et de la radioprotection et fragiliser l’expertise « officielle ». On assiste à la création de plusieurs associations qui vont non seulement investir le savoir académique du nucléaire mais également se doter de moyens propres de mesure. L’expertise échappe au monopole de l’exploitant et de l’Etat.</w:t>
      </w:r>
    </w:p>
    <w:p w:rsidR="00B850EB" w:rsidRDefault="00B850EB" w:rsidP="00DC7B27">
      <w:pPr>
        <w:spacing w:line="240" w:lineRule="auto"/>
        <w:jc w:val="both"/>
        <w:rPr>
          <w:rFonts w:ascii="Times New Roman" w:hAnsi="Times New Roman" w:cs="Times New Roman"/>
          <w:sz w:val="24"/>
          <w:szCs w:val="24"/>
        </w:rPr>
      </w:pPr>
      <w:r w:rsidRPr="00B850EB">
        <w:rPr>
          <w:rFonts w:ascii="Times New Roman" w:hAnsi="Times New Roman" w:cs="Times New Roman"/>
          <w:sz w:val="24"/>
          <w:szCs w:val="24"/>
        </w:rPr>
        <w:lastRenderedPageBreak/>
        <w:t>Ainsi, au tournant des années 90, le débat public autour de la fermeture de ces mines évolue progressivement vers la remise en cause des modalités de gestion post-exploitation. Des analyses divergentes sur les conditions de réaménagements et des options retenues apparaissent montrant la nécessité de prendre en considération d'autres intérêts et enjeux (notamment environnementaux) que ceux définis par les acteurs historiques de l’expertise.</w:t>
      </w:r>
      <w:r>
        <w:rPr>
          <w:rFonts w:ascii="Times New Roman" w:hAnsi="Times New Roman" w:cs="Times New Roman"/>
          <w:sz w:val="24"/>
          <w:szCs w:val="24"/>
        </w:rPr>
        <w:t xml:space="preserve"> </w:t>
      </w:r>
      <w:r w:rsidRPr="00B850EB">
        <w:rPr>
          <w:rFonts w:ascii="Times New Roman" w:hAnsi="Times New Roman" w:cs="Times New Roman"/>
          <w:sz w:val="24"/>
          <w:szCs w:val="24"/>
        </w:rPr>
        <w:t xml:space="preserve">Le rapport de force devient visible avec des retentissements tant médiatiques que judiciaires qui vont s’égrener tout au long des </w:t>
      </w:r>
      <w:r w:rsidR="001C17E7">
        <w:rPr>
          <w:rFonts w:ascii="Times New Roman" w:hAnsi="Times New Roman" w:cs="Times New Roman"/>
          <w:sz w:val="24"/>
          <w:szCs w:val="24"/>
        </w:rPr>
        <w:t>trente</w:t>
      </w:r>
      <w:r w:rsidRPr="00B850EB">
        <w:rPr>
          <w:rFonts w:ascii="Times New Roman" w:hAnsi="Times New Roman" w:cs="Times New Roman"/>
          <w:sz w:val="24"/>
          <w:szCs w:val="24"/>
        </w:rPr>
        <w:t xml:space="preserve"> dernières années.</w:t>
      </w:r>
      <w:r>
        <w:rPr>
          <w:rFonts w:ascii="Times New Roman" w:hAnsi="Times New Roman" w:cs="Times New Roman"/>
          <w:sz w:val="24"/>
          <w:szCs w:val="24"/>
        </w:rPr>
        <w:t xml:space="preserve"> </w:t>
      </w:r>
      <w:r w:rsidRPr="00B850EB">
        <w:rPr>
          <w:rFonts w:ascii="Times New Roman" w:hAnsi="Times New Roman" w:cs="Times New Roman"/>
          <w:sz w:val="24"/>
          <w:szCs w:val="24"/>
        </w:rPr>
        <w:t>Cependant, l’intensité du débat relayé par la presse apparait contrastée : si certains sites miniers du massif central occupent le devant de la scène, ceux situés dans l’Ouest de la France et d’importance équivalente n’apparaissent paradoxalement pas dans l’espace des conflits. On y retrouve pourtant les mêmes types de vestiges (uranium, stériles, résidus de traitement,…), les procédures de réaménagement, de surveillance et de gestion relèvent d’un cadre réglementaire et législatif commun, les autorités sont partagées</w:t>
      </w:r>
      <w:r w:rsidR="001C17E7">
        <w:rPr>
          <w:rFonts w:ascii="Times New Roman" w:hAnsi="Times New Roman" w:cs="Times New Roman"/>
          <w:sz w:val="24"/>
          <w:szCs w:val="24"/>
        </w:rPr>
        <w:t xml:space="preserve"> </w:t>
      </w:r>
      <w:r w:rsidRPr="00B850EB">
        <w:rPr>
          <w:rFonts w:ascii="Times New Roman" w:hAnsi="Times New Roman" w:cs="Times New Roman"/>
          <w:sz w:val="24"/>
          <w:szCs w:val="24"/>
        </w:rPr>
        <w:t>et l’exploitant est identique</w:t>
      </w:r>
      <w:r w:rsidR="001C17E7">
        <w:rPr>
          <w:rFonts w:ascii="Times New Roman" w:hAnsi="Times New Roman" w:cs="Times New Roman"/>
          <w:sz w:val="24"/>
          <w:szCs w:val="24"/>
        </w:rPr>
        <w:t>.</w:t>
      </w:r>
      <w:r w:rsidRPr="00B850EB">
        <w:rPr>
          <w:rFonts w:ascii="Times New Roman" w:hAnsi="Times New Roman" w:cs="Times New Roman"/>
          <w:sz w:val="24"/>
          <w:szCs w:val="24"/>
        </w:rPr>
        <w:t xml:space="preserve"> </w:t>
      </w:r>
      <w:r w:rsidR="001C17E7">
        <w:rPr>
          <w:rFonts w:ascii="Times New Roman" w:hAnsi="Times New Roman" w:cs="Times New Roman"/>
          <w:sz w:val="24"/>
          <w:szCs w:val="24"/>
        </w:rPr>
        <w:t>En effet, a</w:t>
      </w:r>
      <w:r w:rsidRPr="00B850EB">
        <w:rPr>
          <w:rFonts w:ascii="Times New Roman" w:hAnsi="Times New Roman" w:cs="Times New Roman"/>
          <w:sz w:val="24"/>
          <w:szCs w:val="24"/>
        </w:rPr>
        <w:t>vant la création d’AREVA en 2001 qui g</w:t>
      </w:r>
      <w:r w:rsidR="001C17E7">
        <w:rPr>
          <w:rFonts w:ascii="Times New Roman" w:hAnsi="Times New Roman" w:cs="Times New Roman"/>
          <w:sz w:val="24"/>
          <w:szCs w:val="24"/>
        </w:rPr>
        <w:t>ère</w:t>
      </w:r>
      <w:r w:rsidRPr="00B850EB">
        <w:rPr>
          <w:rFonts w:ascii="Times New Roman" w:hAnsi="Times New Roman" w:cs="Times New Roman"/>
          <w:sz w:val="24"/>
          <w:szCs w:val="24"/>
        </w:rPr>
        <w:t xml:space="preserve"> </w:t>
      </w:r>
      <w:r w:rsidR="00306F54">
        <w:rPr>
          <w:rFonts w:ascii="Times New Roman" w:hAnsi="Times New Roman" w:cs="Times New Roman"/>
          <w:sz w:val="24"/>
          <w:szCs w:val="24"/>
        </w:rPr>
        <w:t xml:space="preserve">depuis </w:t>
      </w:r>
      <w:r w:rsidRPr="00B850EB">
        <w:rPr>
          <w:rFonts w:ascii="Times New Roman" w:hAnsi="Times New Roman" w:cs="Times New Roman"/>
          <w:sz w:val="24"/>
          <w:szCs w:val="24"/>
        </w:rPr>
        <w:t xml:space="preserve">l’ensemble des anciens sites, la grande majorité des mines relevaient déjà du même exploitant, </w:t>
      </w:r>
      <w:r w:rsidR="00306F54">
        <w:rPr>
          <w:rFonts w:ascii="Times New Roman" w:hAnsi="Times New Roman" w:cs="Times New Roman"/>
          <w:sz w:val="24"/>
          <w:szCs w:val="24"/>
        </w:rPr>
        <w:t>(</w:t>
      </w:r>
      <w:r w:rsidRPr="00B850EB">
        <w:rPr>
          <w:rFonts w:ascii="Times New Roman" w:hAnsi="Times New Roman" w:cs="Times New Roman"/>
          <w:sz w:val="24"/>
          <w:szCs w:val="24"/>
        </w:rPr>
        <w:t xml:space="preserve">CEA puis COGEMA). </w:t>
      </w:r>
    </w:p>
    <w:p w:rsidR="00CF0DF5" w:rsidRDefault="00EC0B8D" w:rsidP="00DC7B27">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Dans le Limousin, c</w:t>
      </w:r>
      <w:r w:rsidR="00E4218B" w:rsidRPr="00E4218B">
        <w:rPr>
          <w:rFonts w:ascii="Times New Roman" w:hAnsi="Times New Roman" w:cs="Times New Roman"/>
          <w:sz w:val="24"/>
          <w:szCs w:val="24"/>
        </w:rPr>
        <w:t xml:space="preserve">e contexte de controverses locales suscite la constitution </w:t>
      </w:r>
      <w:r>
        <w:rPr>
          <w:rFonts w:ascii="Times New Roman" w:hAnsi="Times New Roman" w:cs="Times New Roman"/>
          <w:sz w:val="24"/>
          <w:szCs w:val="24"/>
        </w:rPr>
        <w:t xml:space="preserve">en 2005 </w:t>
      </w:r>
      <w:r w:rsidR="00E4218B" w:rsidRPr="00E4218B">
        <w:rPr>
          <w:rFonts w:ascii="Times New Roman" w:hAnsi="Times New Roman" w:cs="Times New Roman"/>
          <w:sz w:val="24"/>
          <w:szCs w:val="24"/>
        </w:rPr>
        <w:t>d’un Groupe d’Experts Pluraliste (GEP). Celui-ci présente son rapport final à l’Autorité de S</w:t>
      </w:r>
      <w:r w:rsidR="00E4218B" w:rsidRPr="00E4218B">
        <w:rPr>
          <w:rFonts w:ascii="Times New Roman" w:eastAsia="Times New Roman" w:hAnsi="Times New Roman" w:cs="Times New Roman"/>
          <w:color w:val="000000"/>
          <w:sz w:val="24"/>
          <w:szCs w:val="24"/>
          <w:lang w:eastAsia="fr-FR"/>
        </w:rPr>
        <w:t>ûreté Nucléaire (ASN) et à la Direction Générale de la Prévention des Risques (DGPR). Il évalue la mise en œuvre des recommandations qu'il avait formulées dans un</w:t>
      </w:r>
      <w:r w:rsidR="00AB4135">
        <w:rPr>
          <w:rFonts w:ascii="Times New Roman" w:eastAsia="Times New Roman" w:hAnsi="Times New Roman" w:cs="Times New Roman"/>
          <w:color w:val="000000"/>
          <w:sz w:val="24"/>
          <w:szCs w:val="24"/>
          <w:lang w:eastAsia="fr-FR"/>
        </w:rPr>
        <w:t xml:space="preserve"> </w:t>
      </w:r>
      <w:hyperlink r:id="rId8" w:tgtFrame="_blank" w:history="1">
        <w:r w:rsidR="00E4218B" w:rsidRPr="00E4218B">
          <w:rPr>
            <w:rFonts w:ascii="Times New Roman" w:eastAsia="Times New Roman" w:hAnsi="Times New Roman" w:cs="Times New Roman"/>
            <w:color w:val="000000"/>
            <w:sz w:val="24"/>
            <w:szCs w:val="24"/>
            <w:lang w:eastAsia="fr-FR"/>
          </w:rPr>
          <w:t>premier rapport publié en septembre 2010</w:t>
        </w:r>
      </w:hyperlink>
      <w:r w:rsidR="00E4218B" w:rsidRPr="00E4218B">
        <w:rPr>
          <w:rFonts w:ascii="Times New Roman" w:eastAsia="Times New Roman" w:hAnsi="Times New Roman" w:cs="Times New Roman"/>
          <w:color w:val="000000"/>
          <w:sz w:val="24"/>
          <w:szCs w:val="24"/>
          <w:lang w:eastAsia="fr-FR"/>
        </w:rPr>
        <w:t>.</w:t>
      </w:r>
      <w:r w:rsidR="00E4218B" w:rsidRPr="00E4218B">
        <w:rPr>
          <w:rFonts w:ascii="Times New Roman" w:hAnsi="Times New Roman" w:cs="Times New Roman"/>
          <w:sz w:val="24"/>
          <w:szCs w:val="24"/>
        </w:rPr>
        <w:t xml:space="preserve"> </w:t>
      </w:r>
      <w:r w:rsidR="00E4218B" w:rsidRPr="00E4218B">
        <w:rPr>
          <w:rFonts w:ascii="Times New Roman" w:eastAsia="Times New Roman" w:hAnsi="Times New Roman" w:cs="Times New Roman"/>
          <w:color w:val="000000"/>
          <w:sz w:val="24"/>
          <w:szCs w:val="24"/>
          <w:lang w:eastAsia="fr-FR"/>
        </w:rPr>
        <w:t>Le GEP attire l'attention sur </w:t>
      </w:r>
      <w:r w:rsidR="00E4218B" w:rsidRPr="00E4218B">
        <w:rPr>
          <w:rFonts w:ascii="Times New Roman" w:eastAsia="Times New Roman" w:hAnsi="Times New Roman" w:cs="Times New Roman"/>
          <w:i/>
          <w:iCs/>
          <w:color w:val="000000"/>
          <w:sz w:val="24"/>
          <w:szCs w:val="24"/>
          <w:lang w:eastAsia="fr-FR"/>
        </w:rPr>
        <w:t>"la nécessité de clarifier le statut juridique des sites ainsi que les outils réglementaires dont disposent les pouvoirs publics pour prescrire des caractérisations complémentaires ou des actions de réaménagement"</w:t>
      </w:r>
      <w:r w:rsidR="00E4218B" w:rsidRPr="00E4218B">
        <w:rPr>
          <w:rFonts w:ascii="Times New Roman" w:eastAsia="Times New Roman" w:hAnsi="Times New Roman" w:cs="Times New Roman"/>
          <w:color w:val="000000"/>
          <w:sz w:val="24"/>
          <w:szCs w:val="24"/>
          <w:lang w:eastAsia="fr-FR"/>
        </w:rPr>
        <w:t>. Certains d'entre eux ont</w:t>
      </w:r>
      <w:r w:rsidR="001A2FAE">
        <w:rPr>
          <w:rFonts w:ascii="Times New Roman" w:eastAsia="Times New Roman" w:hAnsi="Times New Roman" w:cs="Times New Roman"/>
          <w:color w:val="000000"/>
          <w:sz w:val="24"/>
          <w:szCs w:val="24"/>
          <w:lang w:eastAsia="fr-FR"/>
        </w:rPr>
        <w:t>,</w:t>
      </w:r>
      <w:r w:rsidR="00E4218B" w:rsidRPr="00E4218B">
        <w:rPr>
          <w:rFonts w:ascii="Times New Roman" w:eastAsia="Times New Roman" w:hAnsi="Times New Roman" w:cs="Times New Roman"/>
          <w:color w:val="000000"/>
          <w:sz w:val="24"/>
          <w:szCs w:val="24"/>
          <w:lang w:eastAsia="fr-FR"/>
        </w:rPr>
        <w:t xml:space="preserve"> </w:t>
      </w:r>
      <w:r w:rsidR="001A2FAE">
        <w:rPr>
          <w:rFonts w:ascii="Times New Roman" w:eastAsia="Times New Roman" w:hAnsi="Times New Roman" w:cs="Times New Roman"/>
          <w:color w:val="000000"/>
          <w:sz w:val="24"/>
          <w:szCs w:val="24"/>
          <w:lang w:eastAsia="fr-FR"/>
        </w:rPr>
        <w:t xml:space="preserve">en effet, </w:t>
      </w:r>
      <w:r w:rsidR="00E4218B" w:rsidRPr="00E4218B">
        <w:rPr>
          <w:rFonts w:ascii="Times New Roman" w:eastAsia="Times New Roman" w:hAnsi="Times New Roman" w:cs="Times New Roman"/>
          <w:color w:val="000000"/>
          <w:sz w:val="24"/>
          <w:szCs w:val="24"/>
          <w:lang w:eastAsia="fr-FR"/>
        </w:rPr>
        <w:t>des titres miniers arrivés à échéance. Le GEP pose donc la question de </w:t>
      </w:r>
      <w:r w:rsidR="00E4218B" w:rsidRPr="00E4218B">
        <w:rPr>
          <w:rFonts w:ascii="Times New Roman" w:eastAsia="Times New Roman" w:hAnsi="Times New Roman" w:cs="Times New Roman"/>
          <w:i/>
          <w:iCs/>
          <w:color w:val="000000"/>
          <w:sz w:val="24"/>
          <w:szCs w:val="24"/>
          <w:lang w:eastAsia="fr-FR"/>
        </w:rPr>
        <w:t>"la base juridique qui permet au préfet de demander la réalisation d'un bilan environnemental"</w:t>
      </w:r>
      <w:r w:rsidR="00E4218B" w:rsidRPr="00E4218B">
        <w:rPr>
          <w:rFonts w:ascii="Times New Roman" w:eastAsia="Times New Roman" w:hAnsi="Times New Roman" w:cs="Times New Roman"/>
          <w:color w:val="000000"/>
          <w:sz w:val="24"/>
          <w:szCs w:val="24"/>
          <w:lang w:eastAsia="fr-FR"/>
        </w:rPr>
        <w:t> et, plus généralement, de </w:t>
      </w:r>
      <w:r w:rsidR="00E4218B" w:rsidRPr="00E4218B">
        <w:rPr>
          <w:rFonts w:ascii="Times New Roman" w:eastAsia="Times New Roman" w:hAnsi="Times New Roman" w:cs="Times New Roman"/>
          <w:i/>
          <w:iCs/>
          <w:color w:val="000000"/>
          <w:sz w:val="24"/>
          <w:szCs w:val="24"/>
          <w:lang w:eastAsia="fr-FR"/>
        </w:rPr>
        <w:t xml:space="preserve">"la situation administrative des sites, des conséquences sur les responsabilités encore portées par </w:t>
      </w:r>
      <w:proofErr w:type="spellStart"/>
      <w:r w:rsidR="00E4218B" w:rsidRPr="00E4218B">
        <w:rPr>
          <w:rFonts w:ascii="Times New Roman" w:eastAsia="Times New Roman" w:hAnsi="Times New Roman" w:cs="Times New Roman"/>
          <w:i/>
          <w:iCs/>
          <w:color w:val="000000"/>
          <w:sz w:val="24"/>
          <w:szCs w:val="24"/>
          <w:lang w:eastAsia="fr-FR"/>
        </w:rPr>
        <w:t>Areva</w:t>
      </w:r>
      <w:proofErr w:type="spellEnd"/>
      <w:r w:rsidR="00E4218B" w:rsidRPr="00E4218B">
        <w:rPr>
          <w:rFonts w:ascii="Times New Roman" w:eastAsia="Times New Roman" w:hAnsi="Times New Roman" w:cs="Times New Roman"/>
          <w:i/>
          <w:iCs/>
          <w:color w:val="000000"/>
          <w:sz w:val="24"/>
          <w:szCs w:val="24"/>
          <w:lang w:eastAsia="fr-FR"/>
        </w:rPr>
        <w:t xml:space="preserve"> Mines et du pouvoir réel des autorités publiques sur chacun des cas particuliers".</w:t>
      </w:r>
      <w:r w:rsidR="00E4218B" w:rsidRPr="00E4218B">
        <w:rPr>
          <w:rFonts w:ascii="Times New Roman" w:hAnsi="Times New Roman" w:cs="Times New Roman"/>
          <w:sz w:val="24"/>
          <w:szCs w:val="24"/>
        </w:rPr>
        <w:t xml:space="preserve"> </w:t>
      </w:r>
      <w:r w:rsidR="00495EE1">
        <w:rPr>
          <w:rFonts w:ascii="Times New Roman" w:eastAsia="Times New Roman" w:hAnsi="Times New Roman" w:cs="Times New Roman"/>
          <w:color w:val="000000"/>
          <w:sz w:val="24"/>
          <w:szCs w:val="24"/>
          <w:lang w:eastAsia="fr-FR"/>
        </w:rPr>
        <w:t>Enfin, le GEP analyse les bilans environnementaux réalisés par l’exploitant. L’exercice permet de disposer d’une meilleure connaissance des anciens sites miniers exploités entre 1948 et 2001 et il vise à hiérarchiser les impacts environnementaux en fonction des sites.</w:t>
      </w:r>
    </w:p>
    <w:p w:rsidR="00F33A58" w:rsidRDefault="00E4218B" w:rsidP="00DC7B27">
      <w:pPr>
        <w:shd w:val="clear" w:color="auto" w:fill="FFFFFF"/>
        <w:spacing w:before="100" w:beforeAutospacing="1" w:after="100" w:afterAutospacing="1" w:line="240" w:lineRule="auto"/>
        <w:jc w:val="both"/>
        <w:rPr>
          <w:rFonts w:ascii="Times New Roman" w:eastAsia="Times New Roman" w:hAnsi="Times New Roman" w:cs="Times New Roman"/>
          <w:i/>
          <w:iCs/>
          <w:color w:val="000000"/>
          <w:sz w:val="24"/>
          <w:szCs w:val="24"/>
          <w:lang w:eastAsia="fr-FR"/>
        </w:rPr>
      </w:pPr>
      <w:r w:rsidRPr="00E4218B">
        <w:rPr>
          <w:rFonts w:ascii="Times New Roman" w:eastAsia="Times New Roman" w:hAnsi="Times New Roman" w:cs="Times New Roman"/>
          <w:color w:val="000000"/>
          <w:sz w:val="24"/>
          <w:szCs w:val="24"/>
          <w:lang w:eastAsia="fr-FR"/>
        </w:rPr>
        <w:t xml:space="preserve">Enfin, alors que s'achève sa mission démarrée en 2005, le GEP préconise de poursuivre un suivi pluraliste de ces anciens sites miniers et la mise en réseau des </w:t>
      </w:r>
      <w:r w:rsidR="004945BC">
        <w:rPr>
          <w:rFonts w:ascii="Times New Roman" w:eastAsia="Times New Roman" w:hAnsi="Times New Roman" w:cs="Times New Roman"/>
          <w:color w:val="000000"/>
          <w:sz w:val="24"/>
          <w:szCs w:val="24"/>
          <w:lang w:eastAsia="fr-FR"/>
        </w:rPr>
        <w:t>seize</w:t>
      </w:r>
      <w:r w:rsidRPr="00E4218B">
        <w:rPr>
          <w:rFonts w:ascii="Times New Roman" w:eastAsia="Times New Roman" w:hAnsi="Times New Roman" w:cs="Times New Roman"/>
          <w:color w:val="000000"/>
          <w:sz w:val="24"/>
          <w:szCs w:val="24"/>
          <w:lang w:eastAsia="fr-FR"/>
        </w:rPr>
        <w:t xml:space="preserve"> instances d'information locales existantes, afin de favoriser le partage d'expérience et leur montée en compétence.</w:t>
      </w:r>
      <w:r w:rsidRPr="00E4218B">
        <w:rPr>
          <w:rFonts w:ascii="Trebuchet MS" w:eastAsia="Times New Roman" w:hAnsi="Trebuchet MS" w:cs="Times New Roman"/>
          <w:color w:val="000000"/>
          <w:sz w:val="20"/>
          <w:szCs w:val="20"/>
          <w:lang w:eastAsia="fr-FR"/>
        </w:rPr>
        <w:t xml:space="preserve"> </w:t>
      </w:r>
      <w:r w:rsidRPr="00E4218B">
        <w:rPr>
          <w:rFonts w:ascii="Times New Roman" w:eastAsia="Times New Roman" w:hAnsi="Times New Roman" w:cs="Times New Roman"/>
          <w:color w:val="000000"/>
          <w:sz w:val="24"/>
          <w:szCs w:val="24"/>
          <w:lang w:eastAsia="fr-FR"/>
        </w:rPr>
        <w:t xml:space="preserve">En réponse, l'ASN et la DGPR encouragent les membres du GEP à participer aux </w:t>
      </w:r>
      <w:r w:rsidR="003544ED">
        <w:rPr>
          <w:rFonts w:ascii="Times New Roman" w:eastAsia="Times New Roman" w:hAnsi="Times New Roman" w:cs="Times New Roman"/>
          <w:color w:val="000000"/>
          <w:sz w:val="24"/>
          <w:szCs w:val="24"/>
          <w:lang w:eastAsia="fr-FR"/>
        </w:rPr>
        <w:t>C</w:t>
      </w:r>
      <w:r w:rsidRPr="00E4218B">
        <w:rPr>
          <w:rFonts w:ascii="Times New Roman" w:eastAsia="Times New Roman" w:hAnsi="Times New Roman" w:cs="Times New Roman"/>
          <w:color w:val="000000"/>
          <w:sz w:val="24"/>
          <w:szCs w:val="24"/>
          <w:lang w:eastAsia="fr-FR"/>
        </w:rPr>
        <w:t xml:space="preserve">ommissions de </w:t>
      </w:r>
      <w:r w:rsidR="003544ED">
        <w:rPr>
          <w:rFonts w:ascii="Times New Roman" w:eastAsia="Times New Roman" w:hAnsi="Times New Roman" w:cs="Times New Roman"/>
          <w:color w:val="000000"/>
          <w:sz w:val="24"/>
          <w:szCs w:val="24"/>
          <w:lang w:eastAsia="fr-FR"/>
        </w:rPr>
        <w:t>S</w:t>
      </w:r>
      <w:r w:rsidRPr="00E4218B">
        <w:rPr>
          <w:rFonts w:ascii="Times New Roman" w:eastAsia="Times New Roman" w:hAnsi="Times New Roman" w:cs="Times New Roman"/>
          <w:color w:val="000000"/>
          <w:sz w:val="24"/>
          <w:szCs w:val="24"/>
          <w:lang w:eastAsia="fr-FR"/>
        </w:rPr>
        <w:t xml:space="preserve">uivi de </w:t>
      </w:r>
      <w:r w:rsidR="003544ED">
        <w:rPr>
          <w:rFonts w:ascii="Times New Roman" w:eastAsia="Times New Roman" w:hAnsi="Times New Roman" w:cs="Times New Roman"/>
          <w:color w:val="000000"/>
          <w:sz w:val="24"/>
          <w:szCs w:val="24"/>
          <w:lang w:eastAsia="fr-FR"/>
        </w:rPr>
        <w:t>S</w:t>
      </w:r>
      <w:r w:rsidRPr="00E4218B">
        <w:rPr>
          <w:rFonts w:ascii="Times New Roman" w:eastAsia="Times New Roman" w:hAnsi="Times New Roman" w:cs="Times New Roman"/>
          <w:color w:val="000000"/>
          <w:sz w:val="24"/>
          <w:szCs w:val="24"/>
          <w:lang w:eastAsia="fr-FR"/>
        </w:rPr>
        <w:t>ite (CSS) et propose de créer un réseau national des CSS</w:t>
      </w:r>
      <w:r w:rsidR="008D7111">
        <w:rPr>
          <w:rFonts w:ascii="Times New Roman" w:eastAsia="Times New Roman" w:hAnsi="Times New Roman" w:cs="Times New Roman"/>
          <w:color w:val="000000"/>
          <w:sz w:val="24"/>
          <w:szCs w:val="24"/>
          <w:lang w:eastAsia="fr-FR"/>
        </w:rPr>
        <w:t xml:space="preserve"> </w:t>
      </w:r>
      <w:r w:rsidRPr="00E4218B">
        <w:rPr>
          <w:rFonts w:ascii="Times New Roman" w:eastAsia="Times New Roman" w:hAnsi="Times New Roman" w:cs="Times New Roman"/>
          <w:i/>
          <w:iCs/>
          <w:color w:val="000000"/>
          <w:sz w:val="24"/>
          <w:szCs w:val="24"/>
          <w:lang w:eastAsia="fr-FR"/>
        </w:rPr>
        <w:t>"à qui seraient confiées des missions relatives à des questions techniques présentant une composante sociétale".</w:t>
      </w:r>
    </w:p>
    <w:p w:rsidR="00E4218B" w:rsidRDefault="00F33A58" w:rsidP="00DC7B27">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fr-FR"/>
        </w:rPr>
        <w:t xml:space="preserve">L’ensemble des ces dispositifs qui sont </w:t>
      </w:r>
      <w:r w:rsidR="008F0039">
        <w:rPr>
          <w:rFonts w:ascii="Times New Roman" w:eastAsia="Times New Roman" w:hAnsi="Times New Roman" w:cs="Times New Roman"/>
          <w:color w:val="000000"/>
          <w:sz w:val="24"/>
          <w:szCs w:val="24"/>
          <w:lang w:eastAsia="fr-FR"/>
        </w:rPr>
        <w:t>annoncés</w:t>
      </w:r>
      <w:r>
        <w:rPr>
          <w:rFonts w:ascii="Times New Roman" w:eastAsia="Times New Roman" w:hAnsi="Times New Roman" w:cs="Times New Roman"/>
          <w:color w:val="000000"/>
          <w:sz w:val="24"/>
          <w:szCs w:val="24"/>
          <w:lang w:eastAsia="fr-FR"/>
        </w:rPr>
        <w:t xml:space="preserve"> dans la circulaire de 2009 traduit un double mouvement : à la fois les impacts environnementaux sont clairement identifiés et listés dans chacun des sites mais le rôle des instances locales, c’est à dire les commissions de suivi de </w:t>
      </w:r>
      <w:r w:rsidR="0095573E">
        <w:rPr>
          <w:rFonts w:ascii="Times New Roman" w:eastAsia="Times New Roman" w:hAnsi="Times New Roman" w:cs="Times New Roman"/>
          <w:color w:val="000000"/>
          <w:sz w:val="24"/>
          <w:szCs w:val="24"/>
          <w:lang w:eastAsia="fr-FR"/>
        </w:rPr>
        <w:t xml:space="preserve">site </w:t>
      </w:r>
      <w:r>
        <w:rPr>
          <w:rFonts w:ascii="Times New Roman" w:eastAsia="Times New Roman" w:hAnsi="Times New Roman" w:cs="Times New Roman"/>
          <w:color w:val="000000"/>
          <w:sz w:val="24"/>
          <w:szCs w:val="24"/>
          <w:lang w:eastAsia="fr-FR"/>
        </w:rPr>
        <w:t>(CSS) est renforcé afin de gérer localement les décisions en matière d’environnement. Ainsi, l</w:t>
      </w:r>
      <w:r w:rsidR="00295169">
        <w:rPr>
          <w:rFonts w:ascii="Times New Roman" w:hAnsi="Times New Roman" w:cs="Times New Roman"/>
          <w:sz w:val="24"/>
          <w:szCs w:val="24"/>
        </w:rPr>
        <w:t xml:space="preserve">’émergence de la question environnementale </w:t>
      </w:r>
      <w:r w:rsidR="00CA0CFB">
        <w:rPr>
          <w:rFonts w:ascii="Times New Roman" w:hAnsi="Times New Roman" w:cs="Times New Roman"/>
          <w:sz w:val="24"/>
          <w:szCs w:val="24"/>
        </w:rPr>
        <w:t>s</w:t>
      </w:r>
      <w:r w:rsidR="00295169">
        <w:rPr>
          <w:rFonts w:ascii="Times New Roman" w:hAnsi="Times New Roman" w:cs="Times New Roman"/>
          <w:sz w:val="24"/>
          <w:szCs w:val="24"/>
        </w:rPr>
        <w:t>e</w:t>
      </w:r>
      <w:r w:rsidR="00CA0CFB">
        <w:rPr>
          <w:rFonts w:ascii="Times New Roman" w:hAnsi="Times New Roman" w:cs="Times New Roman"/>
          <w:sz w:val="24"/>
          <w:szCs w:val="24"/>
        </w:rPr>
        <w:t xml:space="preserve"> développe</w:t>
      </w:r>
      <w:r w:rsidR="00295169">
        <w:rPr>
          <w:rFonts w:ascii="Times New Roman" w:hAnsi="Times New Roman" w:cs="Times New Roman"/>
          <w:sz w:val="24"/>
          <w:szCs w:val="24"/>
        </w:rPr>
        <w:t xml:space="preserve"> dans un double contexte</w:t>
      </w:r>
      <w:r w:rsidR="002E248F">
        <w:rPr>
          <w:rFonts w:ascii="Times New Roman" w:hAnsi="Times New Roman" w:cs="Times New Roman"/>
          <w:sz w:val="24"/>
          <w:szCs w:val="24"/>
        </w:rPr>
        <w:t xml:space="preserve"> : montée des controverses locales et </w:t>
      </w:r>
      <w:r w:rsidR="004F7B63">
        <w:rPr>
          <w:rFonts w:ascii="Times New Roman" w:hAnsi="Times New Roman" w:cs="Times New Roman"/>
          <w:sz w:val="24"/>
          <w:szCs w:val="24"/>
        </w:rPr>
        <w:t>cadre d’</w:t>
      </w:r>
      <w:r w:rsidR="002E248F">
        <w:rPr>
          <w:rFonts w:ascii="Times New Roman" w:hAnsi="Times New Roman" w:cs="Times New Roman"/>
          <w:sz w:val="24"/>
          <w:szCs w:val="24"/>
        </w:rPr>
        <w:t xml:space="preserve">expertise </w:t>
      </w:r>
      <w:r w:rsidR="004F7B63">
        <w:rPr>
          <w:rFonts w:ascii="Times New Roman" w:hAnsi="Times New Roman" w:cs="Times New Roman"/>
          <w:sz w:val="24"/>
          <w:szCs w:val="24"/>
        </w:rPr>
        <w:t>globale sur</w:t>
      </w:r>
      <w:r w:rsidR="004945BC">
        <w:rPr>
          <w:rFonts w:ascii="Times New Roman" w:hAnsi="Times New Roman" w:cs="Times New Roman"/>
          <w:sz w:val="24"/>
          <w:szCs w:val="24"/>
        </w:rPr>
        <w:t xml:space="preserve"> l’empreinte de l’exploitation. </w:t>
      </w:r>
      <w:r>
        <w:rPr>
          <w:rFonts w:ascii="Times New Roman" w:hAnsi="Times New Roman" w:cs="Times New Roman"/>
          <w:sz w:val="24"/>
          <w:szCs w:val="24"/>
        </w:rPr>
        <w:t xml:space="preserve">C’est par conséquent la relation entre l’expertise environnementale et la gestion des sites qui s’avère posée concernant les anciennes mines d’uranium. </w:t>
      </w:r>
      <w:r w:rsidR="004F7B63">
        <w:rPr>
          <w:rFonts w:ascii="Times New Roman" w:hAnsi="Times New Roman" w:cs="Times New Roman"/>
          <w:sz w:val="24"/>
          <w:szCs w:val="24"/>
        </w:rPr>
        <w:t xml:space="preserve"> </w:t>
      </w:r>
      <w:r w:rsidR="002E248F">
        <w:rPr>
          <w:rFonts w:ascii="Times New Roman" w:hAnsi="Times New Roman" w:cs="Times New Roman"/>
          <w:sz w:val="24"/>
          <w:szCs w:val="24"/>
        </w:rPr>
        <w:t xml:space="preserve">  </w:t>
      </w:r>
      <w:r w:rsidR="00295169">
        <w:rPr>
          <w:rFonts w:ascii="Times New Roman" w:hAnsi="Times New Roman" w:cs="Times New Roman"/>
          <w:sz w:val="24"/>
          <w:szCs w:val="24"/>
        </w:rPr>
        <w:t xml:space="preserve"> </w:t>
      </w:r>
    </w:p>
    <w:p w:rsidR="008F0039" w:rsidRPr="00F33A58" w:rsidRDefault="008F0039" w:rsidP="00DC7B2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p>
    <w:p w:rsidR="00B850EB" w:rsidRPr="00221B8E" w:rsidRDefault="00F72099" w:rsidP="00DC7B27">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1.4- </w:t>
      </w:r>
      <w:r w:rsidR="00D0519B" w:rsidRPr="00221B8E">
        <w:rPr>
          <w:rFonts w:ascii="Times New Roman" w:hAnsi="Times New Roman" w:cs="Times New Roman"/>
          <w:b/>
          <w:sz w:val="24"/>
          <w:szCs w:val="24"/>
        </w:rPr>
        <w:t xml:space="preserve"> Méthodologie : le prisme du local pour appréhender la gestion environnementale   </w:t>
      </w:r>
    </w:p>
    <w:p w:rsidR="003544ED" w:rsidRDefault="00E915E9" w:rsidP="00DC7B2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Afin d’analyser le rapport entre la gestion environnementale et l’usage du territoire, la méthode d’enquête s’appuie sur la comparaison de trois sites. Les paramètres de comparaison prennent en compte les éléments suivants : le type de reconversion du site, la nature des restes qui ont suscité une évaluation environnementale et les formes de régulation qui organisent la gestion du territoire. </w:t>
      </w:r>
      <w:r w:rsidR="00F7633B">
        <w:rPr>
          <w:rFonts w:ascii="Times New Roman" w:hAnsi="Times New Roman" w:cs="Times New Roman"/>
          <w:sz w:val="24"/>
          <w:szCs w:val="24"/>
        </w:rPr>
        <w:t>Ces trois paramètres et leur caractérisation doit permettre d’établir des configurations</w:t>
      </w:r>
      <w:r w:rsidR="003544ED">
        <w:rPr>
          <w:rFonts w:ascii="Times New Roman" w:hAnsi="Times New Roman" w:cs="Times New Roman"/>
          <w:sz w:val="24"/>
          <w:szCs w:val="24"/>
        </w:rPr>
        <w:t>, au sens de Norbert Elias (1985), c’est à dire des corrélations issues de rapports sociaux observés.</w:t>
      </w:r>
      <w:r w:rsidR="00F7633B">
        <w:rPr>
          <w:rFonts w:ascii="Times New Roman" w:hAnsi="Times New Roman" w:cs="Times New Roman"/>
          <w:sz w:val="24"/>
          <w:szCs w:val="24"/>
        </w:rPr>
        <w:t xml:space="preserve"> L’intérêt est </w:t>
      </w:r>
      <w:r w:rsidR="00524F35">
        <w:rPr>
          <w:rFonts w:ascii="Times New Roman" w:hAnsi="Times New Roman" w:cs="Times New Roman"/>
          <w:sz w:val="24"/>
          <w:szCs w:val="24"/>
        </w:rPr>
        <w:t xml:space="preserve">de </w:t>
      </w:r>
      <w:r w:rsidR="00F7633B">
        <w:rPr>
          <w:rFonts w:ascii="Times New Roman" w:hAnsi="Times New Roman" w:cs="Times New Roman"/>
          <w:sz w:val="24"/>
          <w:szCs w:val="24"/>
        </w:rPr>
        <w:t xml:space="preserve">comparer plusieurs sites en mettant en relief les déterminants </w:t>
      </w:r>
      <w:r w:rsidR="003544ED">
        <w:rPr>
          <w:rFonts w:ascii="Times New Roman" w:hAnsi="Times New Roman" w:cs="Times New Roman"/>
          <w:sz w:val="24"/>
          <w:szCs w:val="24"/>
        </w:rPr>
        <w:t xml:space="preserve">sociaux </w:t>
      </w:r>
      <w:r w:rsidR="00F7633B">
        <w:rPr>
          <w:rFonts w:ascii="Times New Roman" w:hAnsi="Times New Roman" w:cs="Times New Roman"/>
          <w:sz w:val="24"/>
          <w:szCs w:val="24"/>
        </w:rPr>
        <w:t xml:space="preserve">liés à l’évaluation environnementale et les logiques qui la sous-tendent. </w:t>
      </w:r>
    </w:p>
    <w:p w:rsidR="00F72099" w:rsidRPr="0008255F" w:rsidRDefault="00F7633B" w:rsidP="00DC7B27">
      <w:pPr>
        <w:spacing w:line="240" w:lineRule="auto"/>
        <w:jc w:val="both"/>
        <w:rPr>
          <w:rFonts w:ascii="Times New Roman" w:hAnsi="Times New Roman" w:cs="Times New Roman"/>
          <w:color w:val="FF0000"/>
          <w:sz w:val="24"/>
          <w:szCs w:val="24"/>
        </w:rPr>
      </w:pPr>
      <w:r>
        <w:rPr>
          <w:rFonts w:ascii="Times New Roman" w:hAnsi="Times New Roman" w:cs="Times New Roman"/>
          <w:sz w:val="24"/>
          <w:szCs w:val="24"/>
        </w:rPr>
        <w:t>Trois sites ont été privilégiés.</w:t>
      </w:r>
      <w:r w:rsidR="00F72099" w:rsidRPr="00F72099">
        <w:rPr>
          <w:rFonts w:ascii="Times New Roman" w:hAnsi="Times New Roman" w:cs="Times New Roman"/>
          <w:sz w:val="24"/>
          <w:szCs w:val="24"/>
        </w:rPr>
        <w:t xml:space="preserve"> </w:t>
      </w:r>
      <w:r w:rsidR="00F72099">
        <w:rPr>
          <w:rFonts w:ascii="Times New Roman" w:hAnsi="Times New Roman" w:cs="Times New Roman"/>
          <w:sz w:val="24"/>
          <w:szCs w:val="24"/>
        </w:rPr>
        <w:t xml:space="preserve">Le site de la Chefferie est le deuxième gisement uranifère de la division de Vendée avec 3978 tonnes </w:t>
      </w:r>
      <w:r w:rsidR="0018134F">
        <w:rPr>
          <w:rFonts w:ascii="Times New Roman" w:hAnsi="Times New Roman" w:cs="Times New Roman"/>
          <w:sz w:val="24"/>
          <w:szCs w:val="24"/>
        </w:rPr>
        <w:t xml:space="preserve">d’uranium </w:t>
      </w:r>
      <w:r w:rsidR="00183C13">
        <w:rPr>
          <w:rFonts w:ascii="Times New Roman" w:hAnsi="Times New Roman" w:cs="Times New Roman"/>
          <w:sz w:val="24"/>
          <w:szCs w:val="24"/>
        </w:rPr>
        <w:t xml:space="preserve">produites </w:t>
      </w:r>
      <w:r w:rsidR="00F72099">
        <w:rPr>
          <w:rFonts w:ascii="Times New Roman" w:hAnsi="Times New Roman" w:cs="Times New Roman"/>
          <w:sz w:val="24"/>
          <w:szCs w:val="24"/>
        </w:rPr>
        <w:t xml:space="preserve">entre 1955 et 1991. </w:t>
      </w:r>
      <w:r w:rsidR="00F72099" w:rsidRPr="008F0039">
        <w:rPr>
          <w:rFonts w:ascii="Times New Roman" w:hAnsi="Times New Roman" w:cs="Times New Roman"/>
          <w:sz w:val="24"/>
          <w:szCs w:val="24"/>
        </w:rPr>
        <w:t xml:space="preserve">Le site du Bleuet est </w:t>
      </w:r>
      <w:r w:rsidR="0018134F" w:rsidRPr="008F0039">
        <w:rPr>
          <w:rFonts w:ascii="Times New Roman" w:hAnsi="Times New Roman" w:cs="Times New Roman"/>
          <w:sz w:val="24"/>
          <w:szCs w:val="24"/>
        </w:rPr>
        <w:t xml:space="preserve">d’une importance équivalente à celle de la Chefferie avec 3570 tonnes d’uranium produites </w:t>
      </w:r>
      <w:r w:rsidR="00646657" w:rsidRPr="008F0039">
        <w:rPr>
          <w:rFonts w:ascii="Times New Roman" w:hAnsi="Times New Roman" w:cs="Times New Roman"/>
          <w:sz w:val="24"/>
          <w:szCs w:val="24"/>
        </w:rPr>
        <w:t xml:space="preserve">de </w:t>
      </w:r>
      <w:r w:rsidR="0018134F" w:rsidRPr="008F0039">
        <w:rPr>
          <w:rFonts w:ascii="Times New Roman" w:hAnsi="Times New Roman" w:cs="Times New Roman"/>
          <w:sz w:val="24"/>
          <w:szCs w:val="24"/>
        </w:rPr>
        <w:t xml:space="preserve">1957 </w:t>
      </w:r>
      <w:r w:rsidR="00646657" w:rsidRPr="008F0039">
        <w:rPr>
          <w:rFonts w:ascii="Times New Roman" w:hAnsi="Times New Roman" w:cs="Times New Roman"/>
          <w:sz w:val="24"/>
          <w:szCs w:val="24"/>
        </w:rPr>
        <w:t>à</w:t>
      </w:r>
      <w:r w:rsidR="0018134F" w:rsidRPr="008F0039">
        <w:rPr>
          <w:rFonts w:ascii="Times New Roman" w:hAnsi="Times New Roman" w:cs="Times New Roman"/>
          <w:sz w:val="24"/>
          <w:szCs w:val="24"/>
        </w:rPr>
        <w:t xml:space="preserve"> 1991. </w:t>
      </w:r>
      <w:r w:rsidR="0008255F" w:rsidRPr="008F0039">
        <w:rPr>
          <w:rFonts w:ascii="Times New Roman" w:hAnsi="Times New Roman" w:cs="Times New Roman"/>
          <w:sz w:val="24"/>
          <w:szCs w:val="24"/>
        </w:rPr>
        <w:t>L</w:t>
      </w:r>
      <w:r w:rsidR="003067A2" w:rsidRPr="008F0039">
        <w:rPr>
          <w:rFonts w:ascii="Times New Roman" w:hAnsi="Times New Roman" w:cs="Times New Roman"/>
          <w:sz w:val="24"/>
          <w:szCs w:val="24"/>
        </w:rPr>
        <w:t xml:space="preserve">a mine </w:t>
      </w:r>
      <w:r w:rsidR="0008255F" w:rsidRPr="008F0039">
        <w:rPr>
          <w:rFonts w:ascii="Times New Roman" w:hAnsi="Times New Roman" w:cs="Times New Roman"/>
          <w:sz w:val="24"/>
          <w:szCs w:val="24"/>
        </w:rPr>
        <w:t>de Saint-Ma</w:t>
      </w:r>
      <w:r w:rsidR="006F1B1F" w:rsidRPr="008F0039">
        <w:rPr>
          <w:rFonts w:ascii="Times New Roman" w:hAnsi="Times New Roman" w:cs="Times New Roman"/>
          <w:sz w:val="24"/>
          <w:szCs w:val="24"/>
        </w:rPr>
        <w:t>r</w:t>
      </w:r>
      <w:r w:rsidR="0008255F" w:rsidRPr="008F0039">
        <w:rPr>
          <w:rFonts w:ascii="Times New Roman" w:hAnsi="Times New Roman" w:cs="Times New Roman"/>
          <w:sz w:val="24"/>
          <w:szCs w:val="24"/>
        </w:rPr>
        <w:t>tin</w:t>
      </w:r>
      <w:r w:rsidR="003067A2" w:rsidRPr="008F0039">
        <w:rPr>
          <w:rFonts w:ascii="Times New Roman" w:hAnsi="Times New Roman" w:cs="Times New Roman"/>
          <w:sz w:val="24"/>
          <w:szCs w:val="24"/>
        </w:rPr>
        <w:t xml:space="preserve"> a été exploitée de 1958 à 1982</w:t>
      </w:r>
      <w:r w:rsidR="00BD56F1" w:rsidRPr="008F0039">
        <w:rPr>
          <w:rFonts w:ascii="Times New Roman" w:hAnsi="Times New Roman" w:cs="Times New Roman"/>
          <w:sz w:val="24"/>
          <w:szCs w:val="24"/>
        </w:rPr>
        <w:t>, 1340 tonnes d’uranium ont été produites</w:t>
      </w:r>
      <w:r w:rsidR="006F1B1F" w:rsidRPr="008F0039">
        <w:rPr>
          <w:rFonts w:ascii="Times New Roman" w:hAnsi="Times New Roman" w:cs="Times New Roman"/>
          <w:sz w:val="24"/>
          <w:szCs w:val="24"/>
        </w:rPr>
        <w:t xml:space="preserve">. </w:t>
      </w:r>
      <w:r w:rsidR="00BD56F1" w:rsidRPr="008F0039">
        <w:rPr>
          <w:rFonts w:ascii="Times New Roman" w:hAnsi="Times New Roman" w:cs="Times New Roman"/>
          <w:sz w:val="24"/>
          <w:szCs w:val="24"/>
        </w:rPr>
        <w:t xml:space="preserve">Une usine de traitement du minerai a fonctionné entre 1977 et 1985. </w:t>
      </w:r>
      <w:r w:rsidR="0018134F" w:rsidRPr="008F0039">
        <w:rPr>
          <w:rFonts w:ascii="Times New Roman" w:hAnsi="Times New Roman" w:cs="Times New Roman"/>
          <w:sz w:val="24"/>
          <w:szCs w:val="24"/>
        </w:rPr>
        <w:t>Le gisement étant majoritairement situé sous le bourg</w:t>
      </w:r>
      <w:r w:rsidR="00BD56F1" w:rsidRPr="008F0039">
        <w:rPr>
          <w:rFonts w:ascii="Times New Roman" w:hAnsi="Times New Roman" w:cs="Times New Roman"/>
          <w:sz w:val="24"/>
          <w:szCs w:val="24"/>
        </w:rPr>
        <w:t xml:space="preserve"> de Saint Martin</w:t>
      </w:r>
      <w:r w:rsidR="0018134F" w:rsidRPr="008F0039">
        <w:rPr>
          <w:rFonts w:ascii="Times New Roman" w:hAnsi="Times New Roman" w:cs="Times New Roman"/>
          <w:sz w:val="24"/>
          <w:szCs w:val="24"/>
        </w:rPr>
        <w:t xml:space="preserve">, le village a été en grande partie démoli et reconstruit pour permettre l’exploitation. </w:t>
      </w:r>
      <w:r w:rsidR="00183C13" w:rsidRPr="008F0039">
        <w:rPr>
          <w:rFonts w:ascii="Times New Roman" w:hAnsi="Times New Roman" w:cs="Times New Roman"/>
          <w:sz w:val="24"/>
          <w:szCs w:val="24"/>
        </w:rPr>
        <w:t xml:space="preserve">Pour chacun de ces trois sites, l’activité uranifère a contribué </w:t>
      </w:r>
      <w:r w:rsidR="00BD56F1" w:rsidRPr="008F0039">
        <w:rPr>
          <w:rFonts w:ascii="Times New Roman" w:hAnsi="Times New Roman" w:cs="Times New Roman"/>
          <w:sz w:val="24"/>
          <w:szCs w:val="24"/>
        </w:rPr>
        <w:t>au développement économique</w:t>
      </w:r>
      <w:r w:rsidR="00BD56F1">
        <w:rPr>
          <w:rFonts w:ascii="Times New Roman" w:hAnsi="Times New Roman" w:cs="Times New Roman"/>
          <w:sz w:val="24"/>
          <w:szCs w:val="24"/>
        </w:rPr>
        <w:t xml:space="preserve"> </w:t>
      </w:r>
      <w:r w:rsidR="00183C13">
        <w:rPr>
          <w:rFonts w:ascii="Times New Roman" w:hAnsi="Times New Roman" w:cs="Times New Roman"/>
          <w:sz w:val="24"/>
          <w:szCs w:val="24"/>
        </w:rPr>
        <w:t>mais l’exploitation cesse suite à la chute du cours de l’uranium.</w:t>
      </w:r>
    </w:p>
    <w:p w:rsidR="00F72099" w:rsidRPr="00CC013E" w:rsidRDefault="00F72099" w:rsidP="00DC7B27">
      <w:pPr>
        <w:pStyle w:val="Sansinterligne"/>
        <w:jc w:val="both"/>
        <w:rPr>
          <w:rFonts w:ascii="Times New Roman" w:hAnsi="Times New Roman" w:cs="Times New Roman"/>
          <w:sz w:val="24"/>
          <w:szCs w:val="24"/>
        </w:rPr>
      </w:pPr>
      <w:r w:rsidRPr="00CC013E">
        <w:rPr>
          <w:rFonts w:ascii="Times New Roman" w:hAnsi="Times New Roman" w:cs="Times New Roman"/>
          <w:sz w:val="24"/>
          <w:szCs w:val="24"/>
        </w:rPr>
        <w:t>La méthodologie adoptée repose sur deux modalités de recueil de données : une conduite d’entretiens avec les témoins passés et présents de</w:t>
      </w:r>
      <w:r>
        <w:rPr>
          <w:rFonts w:ascii="Times New Roman" w:hAnsi="Times New Roman" w:cs="Times New Roman"/>
          <w:sz w:val="24"/>
          <w:szCs w:val="24"/>
        </w:rPr>
        <w:t>s sites</w:t>
      </w:r>
      <w:r w:rsidRPr="00CC013E">
        <w:rPr>
          <w:rFonts w:ascii="Times New Roman" w:hAnsi="Times New Roman" w:cs="Times New Roman"/>
          <w:sz w:val="24"/>
          <w:szCs w:val="24"/>
        </w:rPr>
        <w:t xml:space="preserve"> et la consultation d’archives. Une première exploration a consisté à interroger des associations de riverains et d’associations de défense de l’environnement ainsi que les </w:t>
      </w:r>
      <w:r>
        <w:rPr>
          <w:rFonts w:ascii="Times New Roman" w:hAnsi="Times New Roman" w:cs="Times New Roman"/>
          <w:sz w:val="24"/>
          <w:szCs w:val="24"/>
        </w:rPr>
        <w:t>élus et les représentants de l’Etat. Au total, 30 entretiens ont été réalisés sur les trois sites.</w:t>
      </w:r>
      <w:r w:rsidRPr="00CC013E">
        <w:rPr>
          <w:rFonts w:ascii="Times New Roman" w:hAnsi="Times New Roman" w:cs="Times New Roman"/>
          <w:sz w:val="24"/>
          <w:szCs w:val="24"/>
          <w:shd w:val="clear" w:color="auto" w:fill="FFFFFF"/>
        </w:rPr>
        <w:t xml:space="preserve"> </w:t>
      </w:r>
      <w:r w:rsidRPr="00CC013E">
        <w:rPr>
          <w:rFonts w:ascii="Times New Roman" w:hAnsi="Times New Roman" w:cs="Times New Roman"/>
          <w:sz w:val="24"/>
          <w:szCs w:val="24"/>
        </w:rPr>
        <w:t>Par ailleurs, l’analyse de la gestion post-exploitation (1991-201</w:t>
      </w:r>
      <w:r w:rsidR="003544ED">
        <w:rPr>
          <w:rFonts w:ascii="Times New Roman" w:hAnsi="Times New Roman" w:cs="Times New Roman"/>
          <w:sz w:val="24"/>
          <w:szCs w:val="24"/>
        </w:rPr>
        <w:t>5</w:t>
      </w:r>
      <w:r w:rsidRPr="00CC013E">
        <w:rPr>
          <w:rFonts w:ascii="Times New Roman" w:hAnsi="Times New Roman" w:cs="Times New Roman"/>
          <w:sz w:val="24"/>
          <w:szCs w:val="24"/>
        </w:rPr>
        <w:t xml:space="preserve">) s’est appuyée sur les archives de l’exploitant, des institutions de surveillance et des associations de défense de l’environnement. La collecte de ces différentes données (rapports, dossiers de délaissement, compte- rendus des Commissions Locales d’Information et de Suivi, articles de la presse locale) a permis de recenser les « événements » survenus depuis la fermeture de la mine et leurs modalités de prise en charge. </w:t>
      </w:r>
    </w:p>
    <w:p w:rsidR="00F7633B" w:rsidRDefault="00F7633B" w:rsidP="00DC7B27">
      <w:pPr>
        <w:spacing w:line="240" w:lineRule="auto"/>
        <w:jc w:val="both"/>
        <w:rPr>
          <w:rFonts w:ascii="Times New Roman" w:hAnsi="Times New Roman" w:cs="Times New Roman"/>
          <w:sz w:val="24"/>
          <w:szCs w:val="24"/>
        </w:rPr>
      </w:pPr>
    </w:p>
    <w:p w:rsidR="00F72099" w:rsidRPr="00F72099" w:rsidRDefault="00F72099" w:rsidP="00DC7B27">
      <w:pPr>
        <w:spacing w:line="240" w:lineRule="auto"/>
        <w:jc w:val="both"/>
        <w:rPr>
          <w:rFonts w:ascii="Times New Roman" w:hAnsi="Times New Roman" w:cs="Times New Roman"/>
          <w:b/>
          <w:sz w:val="24"/>
          <w:szCs w:val="24"/>
        </w:rPr>
      </w:pPr>
      <w:r w:rsidRPr="00F72099">
        <w:rPr>
          <w:rFonts w:ascii="Times New Roman" w:hAnsi="Times New Roman" w:cs="Times New Roman"/>
          <w:b/>
          <w:sz w:val="24"/>
          <w:szCs w:val="24"/>
        </w:rPr>
        <w:t xml:space="preserve">2- </w:t>
      </w:r>
      <w:r>
        <w:rPr>
          <w:rFonts w:ascii="Times New Roman" w:hAnsi="Times New Roman" w:cs="Times New Roman"/>
          <w:b/>
          <w:sz w:val="24"/>
          <w:szCs w:val="24"/>
        </w:rPr>
        <w:t xml:space="preserve">Gérer les impacts environnementaux : préservation de l’usage, </w:t>
      </w:r>
      <w:r w:rsidRPr="00F72099">
        <w:rPr>
          <w:rFonts w:ascii="Times New Roman" w:hAnsi="Times New Roman" w:cs="Times New Roman"/>
          <w:b/>
          <w:sz w:val="24"/>
          <w:szCs w:val="24"/>
        </w:rPr>
        <w:t xml:space="preserve">négociation locale </w:t>
      </w:r>
      <w:r>
        <w:rPr>
          <w:rFonts w:ascii="Times New Roman" w:hAnsi="Times New Roman" w:cs="Times New Roman"/>
          <w:b/>
          <w:sz w:val="24"/>
          <w:szCs w:val="24"/>
        </w:rPr>
        <w:t>et</w:t>
      </w:r>
      <w:r w:rsidRPr="00F72099">
        <w:rPr>
          <w:rFonts w:ascii="Times New Roman" w:hAnsi="Times New Roman" w:cs="Times New Roman"/>
          <w:b/>
          <w:sz w:val="24"/>
          <w:szCs w:val="24"/>
        </w:rPr>
        <w:t xml:space="preserve"> </w:t>
      </w:r>
      <w:proofErr w:type="spellStart"/>
      <w:r w:rsidRPr="00F72099">
        <w:rPr>
          <w:rFonts w:ascii="Times New Roman" w:hAnsi="Times New Roman" w:cs="Times New Roman"/>
          <w:b/>
          <w:sz w:val="24"/>
          <w:szCs w:val="24"/>
        </w:rPr>
        <w:t>juridiciarisation</w:t>
      </w:r>
      <w:proofErr w:type="spellEnd"/>
      <w:r w:rsidRPr="00F72099">
        <w:rPr>
          <w:rFonts w:ascii="Times New Roman" w:hAnsi="Times New Roman" w:cs="Times New Roman"/>
          <w:b/>
          <w:sz w:val="24"/>
          <w:szCs w:val="24"/>
        </w:rPr>
        <w:t>.</w:t>
      </w:r>
    </w:p>
    <w:p w:rsidR="00720595" w:rsidRPr="00F72099" w:rsidRDefault="00F72099" w:rsidP="00DC7B27">
      <w:pPr>
        <w:spacing w:line="240" w:lineRule="auto"/>
        <w:jc w:val="both"/>
        <w:rPr>
          <w:rFonts w:ascii="Times New Roman" w:hAnsi="Times New Roman" w:cs="Times New Roman"/>
          <w:sz w:val="24"/>
          <w:szCs w:val="24"/>
        </w:rPr>
      </w:pPr>
      <w:r w:rsidRPr="00F72099">
        <w:rPr>
          <w:rFonts w:ascii="Times New Roman" w:hAnsi="Times New Roman" w:cs="Times New Roman"/>
          <w:sz w:val="24"/>
          <w:szCs w:val="24"/>
        </w:rPr>
        <w:t>Les résultats mettent en exergue trois modalités différenciées</w:t>
      </w:r>
      <w:r w:rsidR="0003561D">
        <w:rPr>
          <w:rFonts w:ascii="Times New Roman" w:hAnsi="Times New Roman" w:cs="Times New Roman"/>
          <w:sz w:val="24"/>
          <w:szCs w:val="24"/>
        </w:rPr>
        <w:t xml:space="preserve"> </w:t>
      </w:r>
      <w:r w:rsidRPr="00F72099">
        <w:rPr>
          <w:rFonts w:ascii="Times New Roman" w:hAnsi="Times New Roman" w:cs="Times New Roman"/>
          <w:sz w:val="24"/>
          <w:szCs w:val="24"/>
        </w:rPr>
        <w:t>de gestion de l’environnement</w:t>
      </w:r>
      <w:r>
        <w:rPr>
          <w:rFonts w:ascii="Times New Roman" w:hAnsi="Times New Roman" w:cs="Times New Roman"/>
          <w:sz w:val="24"/>
          <w:szCs w:val="24"/>
        </w:rPr>
        <w:t>.</w:t>
      </w:r>
      <w:r w:rsidRPr="00F72099">
        <w:rPr>
          <w:rFonts w:ascii="Times New Roman" w:hAnsi="Times New Roman" w:cs="Times New Roman"/>
          <w:sz w:val="24"/>
          <w:szCs w:val="24"/>
        </w:rPr>
        <w:t xml:space="preserve"> </w:t>
      </w:r>
      <w:r w:rsidR="00F7633B" w:rsidRPr="00F72099">
        <w:rPr>
          <w:rFonts w:ascii="Times New Roman" w:hAnsi="Times New Roman" w:cs="Times New Roman"/>
          <w:sz w:val="24"/>
          <w:szCs w:val="24"/>
        </w:rPr>
        <w:t xml:space="preserve">  </w:t>
      </w:r>
    </w:p>
    <w:p w:rsidR="006F2872" w:rsidRPr="00DC16D8" w:rsidRDefault="00F73C51" w:rsidP="00DC7B27">
      <w:pPr>
        <w:pStyle w:val="Sansinterligne"/>
        <w:numPr>
          <w:ilvl w:val="1"/>
          <w:numId w:val="6"/>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006F2872" w:rsidRPr="00DC16D8">
        <w:rPr>
          <w:rFonts w:ascii="Times New Roman" w:hAnsi="Times New Roman" w:cs="Times New Roman"/>
          <w:b/>
          <w:sz w:val="24"/>
          <w:szCs w:val="24"/>
        </w:rPr>
        <w:t xml:space="preserve">Le </w:t>
      </w:r>
      <w:r w:rsidR="00DC16D8" w:rsidRPr="00DC16D8">
        <w:rPr>
          <w:rFonts w:ascii="Times New Roman" w:hAnsi="Times New Roman" w:cs="Times New Roman"/>
          <w:b/>
          <w:sz w:val="24"/>
          <w:szCs w:val="24"/>
        </w:rPr>
        <w:t>bleuet : une régulation locale au service de l’usage industriel</w:t>
      </w:r>
      <w:r w:rsidR="00720595" w:rsidRPr="00DC16D8">
        <w:rPr>
          <w:rFonts w:ascii="Times New Roman" w:hAnsi="Times New Roman" w:cs="Times New Roman"/>
          <w:b/>
          <w:sz w:val="24"/>
          <w:szCs w:val="24"/>
        </w:rPr>
        <w:t xml:space="preserve"> : </w:t>
      </w:r>
    </w:p>
    <w:p w:rsidR="00DC16D8" w:rsidRDefault="00DC16D8" w:rsidP="00DC7B27">
      <w:pPr>
        <w:pStyle w:val="Sansinterligne"/>
        <w:jc w:val="both"/>
        <w:rPr>
          <w:rFonts w:ascii="Times New Roman" w:hAnsi="Times New Roman" w:cs="Times New Roman"/>
          <w:b/>
          <w:sz w:val="24"/>
          <w:szCs w:val="24"/>
        </w:rPr>
      </w:pPr>
    </w:p>
    <w:p w:rsidR="00DC16D8" w:rsidRDefault="00C869BE" w:rsidP="00DC7B27">
      <w:pPr>
        <w:pStyle w:val="Sansinterligne"/>
        <w:jc w:val="both"/>
        <w:rPr>
          <w:rFonts w:ascii="Times New Roman" w:hAnsi="Times New Roman" w:cs="Times New Roman"/>
          <w:b/>
          <w:sz w:val="24"/>
          <w:szCs w:val="24"/>
        </w:rPr>
      </w:pPr>
      <w:r>
        <w:rPr>
          <w:rFonts w:ascii="Times New Roman" w:hAnsi="Times New Roman" w:cs="Times New Roman"/>
          <w:b/>
          <w:sz w:val="24"/>
          <w:szCs w:val="24"/>
        </w:rPr>
        <w:t>Réaménagement et poursuite de l’histoire industrielle</w:t>
      </w:r>
    </w:p>
    <w:p w:rsidR="00DC16D8" w:rsidRPr="00DC16D8" w:rsidRDefault="00DC16D8" w:rsidP="00DC7B27">
      <w:pPr>
        <w:pStyle w:val="Sansinterligne"/>
        <w:jc w:val="both"/>
        <w:rPr>
          <w:rFonts w:ascii="Times New Roman" w:hAnsi="Times New Roman" w:cs="Times New Roman"/>
          <w:b/>
          <w:sz w:val="24"/>
          <w:szCs w:val="24"/>
        </w:rPr>
      </w:pPr>
    </w:p>
    <w:p w:rsidR="0090644D" w:rsidRDefault="00C869BE" w:rsidP="00DC7B27">
      <w:pPr>
        <w:pStyle w:val="Sansinterligne"/>
        <w:jc w:val="both"/>
        <w:rPr>
          <w:rFonts w:ascii="Times New Roman" w:hAnsi="Times New Roman" w:cs="Times New Roman"/>
          <w:sz w:val="24"/>
          <w:szCs w:val="24"/>
        </w:rPr>
      </w:pPr>
      <w:r>
        <w:rPr>
          <w:rFonts w:ascii="Times New Roman" w:eastAsia="Calibri" w:hAnsi="Times New Roman" w:cs="Times New Roman"/>
          <w:sz w:val="24"/>
          <w:szCs w:val="24"/>
        </w:rPr>
        <w:t>Sur le site du Bleuet, e</w:t>
      </w:r>
      <w:r w:rsidR="00DC16D8" w:rsidRPr="007D3E3C">
        <w:rPr>
          <w:rFonts w:ascii="Times New Roman" w:eastAsia="Calibri" w:hAnsi="Times New Roman" w:cs="Times New Roman"/>
          <w:sz w:val="24"/>
          <w:szCs w:val="24"/>
        </w:rPr>
        <w:t xml:space="preserve">n 1990, la fermeture de la mine donne lieu à l’effacement des traces de l’activité industrielle. </w:t>
      </w:r>
      <w:r>
        <w:rPr>
          <w:rFonts w:ascii="Times New Roman" w:hAnsi="Times New Roman" w:cs="Times New Roman"/>
          <w:sz w:val="24"/>
          <w:szCs w:val="24"/>
        </w:rPr>
        <w:t>L</w:t>
      </w:r>
      <w:r w:rsidR="00720595" w:rsidRPr="0068666D">
        <w:rPr>
          <w:rFonts w:ascii="Times New Roman" w:hAnsi="Times New Roman" w:cs="Times New Roman"/>
          <w:sz w:val="24"/>
          <w:szCs w:val="24"/>
        </w:rPr>
        <w:t xml:space="preserve">es zones auparavant exploitées, c’est-à-dire les mines à ciel ouvert sont remblayées et cédées à l’entreprise de travaux publics riveraine. Le carreau de la mine fait également l’objet d’une mise à disposition auprès de cette même entreprise de la même manière pour les ateliers servant à l’entretien des engins, les anciens vestiaires. L’ensemble de ces mesures démontre d’une part, l’effacement des traces visibles de l’ancienne exploitation notamment au travers du comblement et d’autre part, une remise en état du site qui vise le retour à un état naturel ou pour une réutilisation. Par ailleurs, l’exploitant  demande la remise dans le domaine public du site sous réserve des servitudes liées à la construction, fouilles, forages, sondages et liées à l’utilisation de l’eau. Dans la commune concernée, les échanges </w:t>
      </w:r>
      <w:r w:rsidR="00720595" w:rsidRPr="0068666D">
        <w:rPr>
          <w:rFonts w:ascii="Times New Roman" w:hAnsi="Times New Roman" w:cs="Times New Roman"/>
          <w:sz w:val="24"/>
          <w:szCs w:val="24"/>
        </w:rPr>
        <w:lastRenderedPageBreak/>
        <w:t>relatifs au réaménagement concernent la cession du foncier et les indemnisations liées à l’assèchement des puits. Cette idée du retour à la nature ou à l’état d’origine s’inscrit dans une démarche de banalisation des lieux et de l’espace. Par ailleurs, la surveillance comprend, au travers d’un périmètre clairement défini, un contrôle de l’exposition externe et un contrôle mensuel de la qualité de l’eau. Ainsi, l’état de référence dans le cadre de la surveillance s’inscrit dans une nouvelle temporalité qui  est celle du matériau à proprement parler. L’histoire passée ne fait pas partie du récit liée à la surveillance, qui reste centré sur des dispositifs techniques de mesure.</w:t>
      </w:r>
      <w:r w:rsidR="0090644D">
        <w:rPr>
          <w:rFonts w:ascii="Times New Roman" w:hAnsi="Times New Roman" w:cs="Times New Roman"/>
          <w:sz w:val="24"/>
          <w:szCs w:val="24"/>
        </w:rPr>
        <w:t xml:space="preserve"> L’histoire industrielle se poursuit car le carrier riverain de la mine poursuit son activité extractive et remploie une partie des salariés précédemment employés dans la mine.  </w:t>
      </w:r>
      <w:r w:rsidR="00720595" w:rsidRPr="0068666D">
        <w:rPr>
          <w:rFonts w:ascii="Times New Roman" w:hAnsi="Times New Roman" w:cs="Times New Roman"/>
          <w:sz w:val="24"/>
          <w:szCs w:val="24"/>
        </w:rPr>
        <w:t xml:space="preserve"> </w:t>
      </w:r>
    </w:p>
    <w:p w:rsidR="0090644D" w:rsidRDefault="0090644D" w:rsidP="00DC7B27">
      <w:pPr>
        <w:pStyle w:val="Sansinterligne"/>
        <w:jc w:val="both"/>
        <w:rPr>
          <w:rFonts w:ascii="Times New Roman" w:hAnsi="Times New Roman" w:cs="Times New Roman"/>
          <w:sz w:val="24"/>
          <w:szCs w:val="24"/>
        </w:rPr>
      </w:pPr>
    </w:p>
    <w:p w:rsidR="00CA1BB3" w:rsidRPr="00CA1BB3" w:rsidRDefault="00CA1BB3" w:rsidP="00DC7B27">
      <w:pPr>
        <w:pStyle w:val="Sansinterligne"/>
        <w:jc w:val="both"/>
        <w:rPr>
          <w:rFonts w:ascii="Times New Roman" w:hAnsi="Times New Roman" w:cs="Times New Roman"/>
          <w:b/>
          <w:sz w:val="24"/>
          <w:szCs w:val="24"/>
        </w:rPr>
      </w:pPr>
      <w:r w:rsidRPr="00CA1BB3">
        <w:rPr>
          <w:rFonts w:ascii="Times New Roman" w:hAnsi="Times New Roman" w:cs="Times New Roman"/>
          <w:b/>
          <w:sz w:val="24"/>
          <w:szCs w:val="24"/>
        </w:rPr>
        <w:t>Les restes de l’exploitation : effondrement, résurgence d’eau et stériles</w:t>
      </w:r>
    </w:p>
    <w:p w:rsidR="00CA1BB3" w:rsidRPr="00CA1BB3" w:rsidRDefault="00CA1BB3" w:rsidP="00DC7B27">
      <w:pPr>
        <w:pStyle w:val="Sansinterligne"/>
        <w:jc w:val="both"/>
        <w:rPr>
          <w:rFonts w:ascii="Times New Roman" w:hAnsi="Times New Roman" w:cs="Times New Roman"/>
          <w:b/>
          <w:sz w:val="24"/>
          <w:szCs w:val="24"/>
        </w:rPr>
      </w:pPr>
      <w:r w:rsidRPr="00CA1BB3">
        <w:rPr>
          <w:rFonts w:ascii="Times New Roman" w:hAnsi="Times New Roman" w:cs="Times New Roman"/>
          <w:b/>
          <w:sz w:val="24"/>
          <w:szCs w:val="24"/>
        </w:rPr>
        <w:t xml:space="preserve">  </w:t>
      </w:r>
    </w:p>
    <w:p w:rsidR="00C869BE" w:rsidRDefault="00720595" w:rsidP="00DC7B27">
      <w:pPr>
        <w:pStyle w:val="Sansinterligne"/>
        <w:jc w:val="both"/>
        <w:rPr>
          <w:rFonts w:ascii="Times New Roman" w:hAnsi="Times New Roman" w:cs="Times New Roman"/>
          <w:sz w:val="24"/>
          <w:szCs w:val="24"/>
        </w:rPr>
      </w:pPr>
      <w:r w:rsidRPr="0068666D">
        <w:rPr>
          <w:rFonts w:ascii="Times New Roman" w:hAnsi="Times New Roman" w:cs="Times New Roman"/>
          <w:sz w:val="24"/>
          <w:szCs w:val="24"/>
        </w:rPr>
        <w:t xml:space="preserve">Néanmoins, quelque temps après l’exploitation, différents événements vont rappeler le passé de la mine et raviver dans les mémoires les traces  de l’exploitation passée. </w:t>
      </w:r>
    </w:p>
    <w:p w:rsidR="00CA1BB3" w:rsidRDefault="00720595" w:rsidP="00DC7B27">
      <w:pPr>
        <w:pStyle w:val="Sansinterligne"/>
        <w:jc w:val="both"/>
        <w:rPr>
          <w:rFonts w:ascii="Times New Roman" w:hAnsi="Times New Roman" w:cs="Times New Roman"/>
          <w:sz w:val="24"/>
          <w:szCs w:val="24"/>
        </w:rPr>
      </w:pPr>
      <w:r w:rsidRPr="0068666D">
        <w:rPr>
          <w:rFonts w:ascii="Times New Roman" w:hAnsi="Times New Roman" w:cs="Times New Roman"/>
          <w:sz w:val="24"/>
          <w:szCs w:val="24"/>
        </w:rPr>
        <w:t xml:space="preserve">Le premier événement de la post-exploitation concerne un effondrement de terrain. Alors que les opérations liées au réaménagement du site ne sont pas complètement achevées, un effondrement minier suscite l’ «engloutissement », comme le relève la presse locale, de sept camions de 38 tonnes. Les camions appartiennent à une société de travaux publics qui gare une partie de sa flotte sur le périmètre de la mine.  Cet événement   génère de la part de l’exploitant un ensemble de mesures. Un périmètre de sécurité est mis en place en accord avec le représentant de la Direction </w:t>
      </w:r>
      <w:r w:rsidRPr="0068666D">
        <w:rPr>
          <w:rFonts w:ascii="Times New Roman" w:hAnsi="Times New Roman" w:cs="Times New Roman"/>
          <w:bCs/>
          <w:sz w:val="24"/>
          <w:szCs w:val="24"/>
        </w:rPr>
        <w:t>Régionale de l’Industrie, de la Recherche et de l’Environnement</w:t>
      </w:r>
      <w:r w:rsidRPr="0068666D">
        <w:rPr>
          <w:rFonts w:ascii="Times New Roman" w:hAnsi="Times New Roman" w:cs="Times New Roman"/>
          <w:sz w:val="24"/>
          <w:szCs w:val="24"/>
        </w:rPr>
        <w:t xml:space="preserve"> (DRIRE)</w:t>
      </w:r>
      <w:r w:rsidRPr="0068666D">
        <w:rPr>
          <w:rStyle w:val="Appelnotedebasdep"/>
          <w:rFonts w:ascii="Times New Roman" w:hAnsi="Times New Roman" w:cs="Times New Roman"/>
          <w:sz w:val="24"/>
          <w:szCs w:val="24"/>
        </w:rPr>
        <w:footnoteReference w:id="1"/>
      </w:r>
      <w:r w:rsidRPr="0068666D">
        <w:rPr>
          <w:rFonts w:ascii="Times New Roman" w:hAnsi="Times New Roman" w:cs="Times New Roman"/>
          <w:sz w:val="24"/>
          <w:szCs w:val="24"/>
        </w:rPr>
        <w:t xml:space="preserve">. Un relevé topographique est effectué et des repères sont posés  afin de suivre l’affaissement. Un gardiennage est installé ainsi qu’une visite quotidienne du site par l’ancien exploitant. Localement, cet événement  participe à incarner le danger lié à la mine. L’effondrement des galeries, pour les anciens mineurs comme pour les riverains, signale bien un danger physique d’éboulement. Le deuxième événement concerne une résurgence d’eau. Après la cessation de l’exploitation de la mine d’uranium en 1991, des travaux de mise en sécurité ont été réalisés dans le cadre du rapport de délaissement d’exploitation pour répondre aux exigences de l’administration en charge de la surveillance des mines. Un système de surveillance de la radioactivité est mis en place sur et autour du site. L’ensemble est considéré comme satisfaisant par les autorités compétentes. Cependant, en juin 1997 se produit une première alerte avec un rejet d’eau coloré «La fameuse résurgence d’eau rouge » (ancien voisin de la mine) dans la prairie d’un agriculteur vivant à proximité de la mine. Les riverains s’alertent et demandent des comptes à la mairie et à l’ancien exploitant. Deux mois plus tard, une seconde résurgence d’eau fait son apparition. Des prélèvements d’eau sont effectués et les premières analyses révèlent des teneurs en sulfate et chlorure de sodium (sel) supérieurs aux normes. La seconde résurgence se déverse dans le ruisseau proche de la mine et révèle cette fois une présence de radium, d’uranium et de sel. Les habitants de la petite commune s’inquiètent  alors de la dangerosité de ces rejets à la fois sur la faune et la flore. Il est réclamé à l’exploitant de mettre en place les mesures nécessaires pour faire cesser ces rejets. Suite à l’analyse menée par un hydrogéologue, l’ancien exploitant propose une solution de pompage de l’eau de la mine à ciel ouvert en fonction de la pluviométrie qui ne répond que partiellement aux attentes. En effet, le représentant de l’ancien exploitant avoue ne pas pouvoir stopper les résurgences d’eau mais les gérer par ce système de pompages et permettre ainsi la dilution du sel dans l’eau du ruisseau. </w:t>
      </w:r>
    </w:p>
    <w:p w:rsidR="008F0039" w:rsidRDefault="008F0039" w:rsidP="00DC7B27">
      <w:pPr>
        <w:pStyle w:val="Sansinterligne"/>
        <w:jc w:val="both"/>
        <w:rPr>
          <w:rFonts w:ascii="Times New Roman" w:hAnsi="Times New Roman" w:cs="Times New Roman"/>
          <w:sz w:val="24"/>
          <w:szCs w:val="24"/>
        </w:rPr>
      </w:pPr>
    </w:p>
    <w:p w:rsidR="00CA1BB3" w:rsidRDefault="00CA1BB3" w:rsidP="00DC7B27">
      <w:pPr>
        <w:pStyle w:val="Sansinterligne"/>
        <w:jc w:val="both"/>
        <w:rPr>
          <w:rFonts w:ascii="Times New Roman" w:hAnsi="Times New Roman" w:cs="Times New Roman"/>
          <w:sz w:val="24"/>
          <w:szCs w:val="24"/>
        </w:rPr>
      </w:pPr>
    </w:p>
    <w:p w:rsidR="00FF0438" w:rsidRPr="00FF0438" w:rsidRDefault="00FF0438" w:rsidP="00DC7B27">
      <w:pPr>
        <w:pStyle w:val="Sansinterligne"/>
        <w:jc w:val="both"/>
        <w:rPr>
          <w:rFonts w:ascii="Times New Roman" w:hAnsi="Times New Roman" w:cs="Times New Roman"/>
          <w:b/>
          <w:sz w:val="24"/>
          <w:szCs w:val="24"/>
        </w:rPr>
      </w:pPr>
      <w:r w:rsidRPr="00FF0438">
        <w:rPr>
          <w:rFonts w:ascii="Times New Roman" w:hAnsi="Times New Roman" w:cs="Times New Roman"/>
          <w:b/>
          <w:sz w:val="24"/>
          <w:szCs w:val="24"/>
        </w:rPr>
        <w:lastRenderedPageBreak/>
        <w:t>Une gestion locale</w:t>
      </w:r>
      <w:r>
        <w:rPr>
          <w:rFonts w:ascii="Times New Roman" w:hAnsi="Times New Roman" w:cs="Times New Roman"/>
          <w:b/>
          <w:sz w:val="24"/>
          <w:szCs w:val="24"/>
        </w:rPr>
        <w:t xml:space="preserve"> afin de maintenir</w:t>
      </w:r>
      <w:r w:rsidR="00A00C07">
        <w:rPr>
          <w:rFonts w:ascii="Times New Roman" w:hAnsi="Times New Roman" w:cs="Times New Roman"/>
          <w:b/>
          <w:sz w:val="24"/>
          <w:szCs w:val="24"/>
        </w:rPr>
        <w:t xml:space="preserve"> </w:t>
      </w:r>
      <w:r>
        <w:rPr>
          <w:rFonts w:ascii="Times New Roman" w:hAnsi="Times New Roman" w:cs="Times New Roman"/>
          <w:b/>
          <w:sz w:val="24"/>
          <w:szCs w:val="24"/>
        </w:rPr>
        <w:t>l’usage du territoire</w:t>
      </w:r>
    </w:p>
    <w:p w:rsidR="00FF0438" w:rsidRDefault="00FF0438" w:rsidP="00DC7B27">
      <w:pPr>
        <w:pStyle w:val="Sansinterligne"/>
        <w:jc w:val="both"/>
        <w:rPr>
          <w:rFonts w:ascii="Times New Roman" w:hAnsi="Times New Roman" w:cs="Times New Roman"/>
          <w:sz w:val="24"/>
          <w:szCs w:val="24"/>
        </w:rPr>
      </w:pPr>
    </w:p>
    <w:p w:rsidR="00720595" w:rsidRPr="0068666D" w:rsidRDefault="00720595" w:rsidP="00DC7B27">
      <w:pPr>
        <w:pStyle w:val="Sansinterligne"/>
        <w:jc w:val="both"/>
        <w:rPr>
          <w:rFonts w:ascii="Times New Roman" w:hAnsi="Times New Roman" w:cs="Times New Roman"/>
          <w:sz w:val="24"/>
          <w:szCs w:val="24"/>
        </w:rPr>
      </w:pPr>
      <w:r w:rsidRPr="0068666D">
        <w:rPr>
          <w:rFonts w:ascii="Times New Roman" w:hAnsi="Times New Roman" w:cs="Times New Roman"/>
          <w:sz w:val="24"/>
          <w:szCs w:val="24"/>
        </w:rPr>
        <w:t xml:space="preserve">Cette solution est finalement acceptée par les habitants mais requiert des contrôles journaliers d’un personnel de l’ancien exploitant pour mesurer la qualité de l’eau rejetée et la hauteur de l’eau présente dans l’ancienne mine. L’alerte émise par les associations de défense de l’environnement et les riverains permet de rendre visible un danger qui n’aurait pas été décelé autrement. Ils obtiennent de la part de l’ancien exploitant une contre-expertise annuelle par un laboratoire indépendant qu’ils choisissent. Cette affaire montre </w:t>
      </w:r>
      <w:r w:rsidR="00A466E0" w:rsidRPr="0068666D">
        <w:rPr>
          <w:rFonts w:ascii="Times New Roman" w:hAnsi="Times New Roman" w:cs="Times New Roman"/>
          <w:sz w:val="24"/>
          <w:szCs w:val="24"/>
        </w:rPr>
        <w:t xml:space="preserve">la régulation qui s’opère localement entre l’expertise </w:t>
      </w:r>
      <w:r w:rsidRPr="0068666D">
        <w:rPr>
          <w:rFonts w:ascii="Times New Roman" w:hAnsi="Times New Roman" w:cs="Times New Roman"/>
          <w:sz w:val="24"/>
          <w:szCs w:val="24"/>
        </w:rPr>
        <w:t>le droit de regard que comptent jouer les associations sur des éléments qui étaient jusqu’alors l’apanage de l’exploitant et des administrations. Ils participent à la mise en place d’une contre-expertise auquel l’ancien exploitant doit rendre des comptes.</w:t>
      </w:r>
      <w:r w:rsidR="00FF0438">
        <w:rPr>
          <w:rFonts w:ascii="Times New Roman" w:hAnsi="Times New Roman" w:cs="Times New Roman"/>
          <w:sz w:val="24"/>
          <w:szCs w:val="24"/>
        </w:rPr>
        <w:t xml:space="preserve"> </w:t>
      </w:r>
      <w:r w:rsidR="0090644D">
        <w:rPr>
          <w:rFonts w:ascii="Times New Roman" w:hAnsi="Times New Roman" w:cs="Times New Roman"/>
          <w:sz w:val="24"/>
          <w:szCs w:val="24"/>
        </w:rPr>
        <w:t>Toutefois, le traitement de l’affaire</w:t>
      </w:r>
      <w:r w:rsidR="0095573E">
        <w:rPr>
          <w:rFonts w:ascii="Times New Roman" w:hAnsi="Times New Roman" w:cs="Times New Roman"/>
          <w:sz w:val="24"/>
          <w:szCs w:val="24"/>
        </w:rPr>
        <w:t>,</w:t>
      </w:r>
      <w:r w:rsidR="00CA1BB3">
        <w:rPr>
          <w:rFonts w:ascii="Times New Roman" w:hAnsi="Times New Roman" w:cs="Times New Roman"/>
          <w:sz w:val="24"/>
          <w:szCs w:val="24"/>
        </w:rPr>
        <w:t xml:space="preserve"> </w:t>
      </w:r>
      <w:r w:rsidR="0095573E">
        <w:rPr>
          <w:rFonts w:ascii="Times New Roman" w:hAnsi="Times New Roman" w:cs="Times New Roman"/>
          <w:sz w:val="24"/>
          <w:szCs w:val="24"/>
        </w:rPr>
        <w:t xml:space="preserve">pris en charge </w:t>
      </w:r>
      <w:r w:rsidR="00CA1BB3">
        <w:rPr>
          <w:rFonts w:ascii="Times New Roman" w:hAnsi="Times New Roman" w:cs="Times New Roman"/>
          <w:sz w:val="24"/>
          <w:szCs w:val="24"/>
        </w:rPr>
        <w:t>et géré au niveau local</w:t>
      </w:r>
      <w:r w:rsidR="0095573E">
        <w:rPr>
          <w:rFonts w:ascii="Times New Roman" w:hAnsi="Times New Roman" w:cs="Times New Roman"/>
          <w:sz w:val="24"/>
          <w:szCs w:val="24"/>
        </w:rPr>
        <w:t>,</w:t>
      </w:r>
      <w:r w:rsidRPr="0068666D">
        <w:rPr>
          <w:rFonts w:ascii="Times New Roman" w:hAnsi="Times New Roman" w:cs="Times New Roman"/>
          <w:sz w:val="24"/>
          <w:szCs w:val="24"/>
        </w:rPr>
        <w:t xml:space="preserve"> montre la façon dont l’événement et la controverse participent à modifier un schéma décisionnel. La mobilisation des associations et la médiatisation mettent en exergue l’existence des risques afférents à la mine sur le mode de la vigilance. Cette vigilance lutte pour partie contre l’oubli et cherche à conserver des traces de l’ancienne activité minière.  </w:t>
      </w:r>
    </w:p>
    <w:p w:rsidR="00720595" w:rsidRPr="0068666D" w:rsidRDefault="00720595" w:rsidP="00DC7B27">
      <w:pPr>
        <w:pStyle w:val="Sansinterligne"/>
        <w:jc w:val="both"/>
        <w:rPr>
          <w:rFonts w:ascii="Times New Roman" w:hAnsi="Times New Roman" w:cs="Times New Roman"/>
          <w:sz w:val="24"/>
          <w:szCs w:val="24"/>
        </w:rPr>
      </w:pPr>
    </w:p>
    <w:p w:rsidR="00A71E55" w:rsidRPr="00FF0438" w:rsidRDefault="00F73C51" w:rsidP="00DC7B27">
      <w:pPr>
        <w:pStyle w:val="Sansinterligne"/>
        <w:numPr>
          <w:ilvl w:val="1"/>
          <w:numId w:val="6"/>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00FF0438" w:rsidRPr="00FF0438">
        <w:rPr>
          <w:rFonts w:ascii="Times New Roman" w:hAnsi="Times New Roman" w:cs="Times New Roman"/>
          <w:b/>
          <w:sz w:val="24"/>
          <w:szCs w:val="24"/>
        </w:rPr>
        <w:t xml:space="preserve">La Chefferie : une régulation locale face à un usage </w:t>
      </w:r>
      <w:r w:rsidR="000253D7">
        <w:rPr>
          <w:rFonts w:ascii="Times New Roman" w:hAnsi="Times New Roman" w:cs="Times New Roman"/>
          <w:b/>
          <w:sz w:val="24"/>
          <w:szCs w:val="24"/>
        </w:rPr>
        <w:t>controversé</w:t>
      </w:r>
      <w:r w:rsidR="00FF0438" w:rsidRPr="00FF0438">
        <w:rPr>
          <w:rFonts w:ascii="Times New Roman" w:hAnsi="Times New Roman" w:cs="Times New Roman"/>
          <w:b/>
          <w:sz w:val="24"/>
          <w:szCs w:val="24"/>
        </w:rPr>
        <w:t xml:space="preserve"> du site</w:t>
      </w:r>
    </w:p>
    <w:p w:rsidR="00FF0438" w:rsidRPr="0068666D" w:rsidRDefault="00FF0438" w:rsidP="00DC7B27">
      <w:pPr>
        <w:pStyle w:val="Sansinterligne"/>
        <w:ind w:left="720"/>
        <w:jc w:val="both"/>
        <w:rPr>
          <w:rFonts w:ascii="Times New Roman" w:hAnsi="Times New Roman" w:cs="Times New Roman"/>
          <w:sz w:val="24"/>
          <w:szCs w:val="24"/>
        </w:rPr>
      </w:pPr>
    </w:p>
    <w:p w:rsidR="00A00C07" w:rsidRDefault="00A00C07" w:rsidP="00DC7B27">
      <w:pPr>
        <w:pStyle w:val="Sansinterligne"/>
        <w:jc w:val="both"/>
        <w:rPr>
          <w:rFonts w:ascii="Times New Roman" w:hAnsi="Times New Roman" w:cs="Times New Roman"/>
          <w:b/>
          <w:sz w:val="24"/>
          <w:szCs w:val="24"/>
        </w:rPr>
      </w:pPr>
      <w:r w:rsidRPr="00A00C07">
        <w:rPr>
          <w:rFonts w:ascii="Times New Roman" w:hAnsi="Times New Roman" w:cs="Times New Roman"/>
          <w:b/>
          <w:sz w:val="24"/>
          <w:szCs w:val="24"/>
        </w:rPr>
        <w:t>Réaménagement et usages différenciés</w:t>
      </w:r>
      <w:r w:rsidR="00E2354B" w:rsidRPr="00A00C07">
        <w:rPr>
          <w:rFonts w:ascii="Times New Roman" w:hAnsi="Times New Roman" w:cs="Times New Roman"/>
          <w:b/>
          <w:sz w:val="24"/>
          <w:szCs w:val="24"/>
        </w:rPr>
        <w:t xml:space="preserve"> </w:t>
      </w:r>
    </w:p>
    <w:p w:rsidR="00A00C07" w:rsidRPr="00A00C07" w:rsidRDefault="00A00C07" w:rsidP="00DC7B27">
      <w:pPr>
        <w:pStyle w:val="Sansinterligne"/>
        <w:jc w:val="both"/>
        <w:rPr>
          <w:rFonts w:ascii="Times New Roman" w:hAnsi="Times New Roman" w:cs="Times New Roman"/>
          <w:b/>
          <w:sz w:val="24"/>
          <w:szCs w:val="24"/>
        </w:rPr>
      </w:pPr>
    </w:p>
    <w:p w:rsidR="00795A78" w:rsidRDefault="00A00C07" w:rsidP="00DC7B27">
      <w:pPr>
        <w:pStyle w:val="Sansinterligne"/>
        <w:jc w:val="both"/>
        <w:rPr>
          <w:rFonts w:ascii="Times New Roman" w:hAnsi="Times New Roman" w:cs="Times New Roman"/>
          <w:sz w:val="24"/>
          <w:szCs w:val="24"/>
        </w:rPr>
      </w:pPr>
      <w:r w:rsidRPr="00A00C07">
        <w:rPr>
          <w:rFonts w:ascii="Times New Roman" w:hAnsi="Times New Roman" w:cs="Times New Roman"/>
          <w:sz w:val="24"/>
          <w:szCs w:val="24"/>
        </w:rPr>
        <w:t xml:space="preserve">Sur le site de la Chefferie, </w:t>
      </w:r>
      <w:r>
        <w:rPr>
          <w:rFonts w:ascii="Times New Roman" w:hAnsi="Times New Roman" w:cs="Times New Roman"/>
          <w:sz w:val="24"/>
          <w:szCs w:val="24"/>
        </w:rPr>
        <w:t xml:space="preserve">la fermeture de la mine suscite de nombreux projets de reconversion du site. </w:t>
      </w:r>
      <w:r w:rsidR="002461A3">
        <w:rPr>
          <w:rFonts w:ascii="Times New Roman" w:hAnsi="Times New Roman" w:cs="Times New Roman"/>
          <w:sz w:val="24"/>
          <w:szCs w:val="24"/>
        </w:rPr>
        <w:t>A partir de 1990, le site de l’ancienne mine à ciel ouvert fait l’objet de nombreuses sollicitations auprès de l’ancien exploitant. Un projet de carrière émerge mais le foncier fait l’</w:t>
      </w:r>
      <w:r w:rsidR="007C5552">
        <w:rPr>
          <w:rFonts w:ascii="Times New Roman" w:hAnsi="Times New Roman" w:cs="Times New Roman"/>
          <w:sz w:val="24"/>
          <w:szCs w:val="24"/>
        </w:rPr>
        <w:t>œuvre</w:t>
      </w:r>
      <w:r w:rsidR="002461A3">
        <w:rPr>
          <w:rFonts w:ascii="Times New Roman" w:hAnsi="Times New Roman" w:cs="Times New Roman"/>
          <w:sz w:val="24"/>
          <w:szCs w:val="24"/>
        </w:rPr>
        <w:t xml:space="preserve"> de multiples sollicitations. Pendant une </w:t>
      </w:r>
      <w:r w:rsidR="00C53E18">
        <w:rPr>
          <w:rFonts w:ascii="Times New Roman" w:hAnsi="Times New Roman" w:cs="Times New Roman"/>
          <w:sz w:val="24"/>
          <w:szCs w:val="24"/>
        </w:rPr>
        <w:t>vingtaine d’années, trois usages du territoire se combinent : le bassin d’eau de l’ancienne mine à ciel ouvert fait l’</w:t>
      </w:r>
      <w:proofErr w:type="spellStart"/>
      <w:r w:rsidR="00C53E18">
        <w:rPr>
          <w:rFonts w:ascii="Times New Roman" w:hAnsi="Times New Roman" w:cs="Times New Roman"/>
          <w:sz w:val="24"/>
          <w:szCs w:val="24"/>
        </w:rPr>
        <w:t>o</w:t>
      </w:r>
      <w:r w:rsidR="00660BD2">
        <w:rPr>
          <w:rFonts w:ascii="Times New Roman" w:hAnsi="Times New Roman" w:cs="Times New Roman"/>
          <w:sz w:val="24"/>
          <w:szCs w:val="24"/>
        </w:rPr>
        <w:t>e</w:t>
      </w:r>
      <w:r w:rsidR="00C53E18">
        <w:rPr>
          <w:rFonts w:ascii="Times New Roman" w:hAnsi="Times New Roman" w:cs="Times New Roman"/>
          <w:sz w:val="24"/>
          <w:szCs w:val="24"/>
        </w:rPr>
        <w:t>uvre</w:t>
      </w:r>
      <w:proofErr w:type="spellEnd"/>
      <w:r w:rsidR="00C53E18">
        <w:rPr>
          <w:rFonts w:ascii="Times New Roman" w:hAnsi="Times New Roman" w:cs="Times New Roman"/>
          <w:sz w:val="24"/>
          <w:szCs w:val="24"/>
        </w:rPr>
        <w:t xml:space="preserve"> d’une sollicitation du GEAC local auprès de l’ancien exploitant pour être utilisé pour l’irrigation. Une société d’équipement et de conditionnement rachète les anciens locaux industriels et reconstruit un bâtiment neuf  pour développer son activité. Enfin sur l’ancienne verse à stérile, une société </w:t>
      </w:r>
      <w:r w:rsidR="0003561D">
        <w:rPr>
          <w:rFonts w:ascii="Times New Roman" w:hAnsi="Times New Roman" w:cs="Times New Roman"/>
          <w:sz w:val="24"/>
          <w:szCs w:val="24"/>
        </w:rPr>
        <w:t xml:space="preserve">installe une centrale de </w:t>
      </w:r>
      <w:r w:rsidR="00C53E18">
        <w:rPr>
          <w:rFonts w:ascii="Times New Roman" w:hAnsi="Times New Roman" w:cs="Times New Roman"/>
          <w:sz w:val="24"/>
          <w:szCs w:val="24"/>
        </w:rPr>
        <w:t xml:space="preserve">panneaux photovoltaïques. Ces trois usages, énergétiques, industriels et agricoles cohabitent sur le site dont les élus successifs soulignent l’exemplarité en </w:t>
      </w:r>
      <w:r w:rsidR="007C5552">
        <w:rPr>
          <w:rFonts w:ascii="Times New Roman" w:hAnsi="Times New Roman" w:cs="Times New Roman"/>
          <w:sz w:val="24"/>
          <w:szCs w:val="24"/>
        </w:rPr>
        <w:t>matière</w:t>
      </w:r>
      <w:r w:rsidR="00C53E18">
        <w:rPr>
          <w:rFonts w:ascii="Times New Roman" w:hAnsi="Times New Roman" w:cs="Times New Roman"/>
          <w:sz w:val="24"/>
          <w:szCs w:val="24"/>
        </w:rPr>
        <w:t xml:space="preserve"> de reconversion.</w:t>
      </w:r>
      <w:r w:rsidR="00795A78">
        <w:rPr>
          <w:rFonts w:ascii="Times New Roman" w:hAnsi="Times New Roman" w:cs="Times New Roman"/>
          <w:sz w:val="24"/>
          <w:szCs w:val="24"/>
        </w:rPr>
        <w:t xml:space="preserve"> </w:t>
      </w:r>
      <w:r w:rsidR="008C4CED">
        <w:rPr>
          <w:rFonts w:ascii="Times New Roman" w:hAnsi="Times New Roman" w:cs="Times New Roman"/>
          <w:sz w:val="24"/>
          <w:szCs w:val="24"/>
        </w:rPr>
        <w:t>Parallèlem</w:t>
      </w:r>
      <w:r w:rsidR="00795A78">
        <w:rPr>
          <w:rFonts w:ascii="Times New Roman" w:hAnsi="Times New Roman" w:cs="Times New Roman"/>
          <w:sz w:val="24"/>
          <w:szCs w:val="24"/>
        </w:rPr>
        <w:t>ent</w:t>
      </w:r>
      <w:r w:rsidR="008C4CED">
        <w:rPr>
          <w:rFonts w:ascii="Times New Roman" w:hAnsi="Times New Roman" w:cs="Times New Roman"/>
          <w:sz w:val="24"/>
          <w:szCs w:val="24"/>
        </w:rPr>
        <w:t>,</w:t>
      </w:r>
      <w:r w:rsidR="00795A78">
        <w:rPr>
          <w:rFonts w:ascii="Times New Roman" w:hAnsi="Times New Roman" w:cs="Times New Roman"/>
          <w:sz w:val="24"/>
          <w:szCs w:val="24"/>
        </w:rPr>
        <w:t xml:space="preserve"> au cours du réaménagement, trois périmètres de sécurité sont définis. La partie de la mine à ciel ouvert est remblayée avec des produits issus de l’assainissement et les résidus de lixiviation. L’ensemble des produits fait l’</w:t>
      </w:r>
      <w:proofErr w:type="spellStart"/>
      <w:r w:rsidR="00795A78">
        <w:rPr>
          <w:rFonts w:ascii="Times New Roman" w:hAnsi="Times New Roman" w:cs="Times New Roman"/>
          <w:sz w:val="24"/>
          <w:szCs w:val="24"/>
        </w:rPr>
        <w:t>oeuvre</w:t>
      </w:r>
      <w:proofErr w:type="spellEnd"/>
      <w:r w:rsidR="00795A78">
        <w:rPr>
          <w:rFonts w:ascii="Times New Roman" w:hAnsi="Times New Roman" w:cs="Times New Roman"/>
          <w:sz w:val="24"/>
          <w:szCs w:val="24"/>
        </w:rPr>
        <w:t xml:space="preserve"> d’un recouvrement par un lit de calcaire d’une dizaine de centimètres d’épaisseur. La partie nord est comblée par des stériles miniers.</w:t>
      </w:r>
    </w:p>
    <w:p w:rsidR="00795A78" w:rsidRDefault="00795A78" w:rsidP="00DC7B27">
      <w:pPr>
        <w:pStyle w:val="Sansinterligne"/>
        <w:jc w:val="both"/>
        <w:rPr>
          <w:rFonts w:ascii="Times New Roman" w:hAnsi="Times New Roman" w:cs="Times New Roman"/>
          <w:sz w:val="24"/>
          <w:szCs w:val="24"/>
        </w:rPr>
      </w:pPr>
    </w:p>
    <w:p w:rsidR="008849F1" w:rsidRDefault="00795A78" w:rsidP="00DC7B27">
      <w:pPr>
        <w:pStyle w:val="Sansinterligne"/>
        <w:jc w:val="both"/>
        <w:rPr>
          <w:rFonts w:ascii="Times New Roman" w:hAnsi="Times New Roman" w:cs="Times New Roman"/>
          <w:b/>
          <w:sz w:val="24"/>
          <w:szCs w:val="24"/>
        </w:rPr>
      </w:pPr>
      <w:r w:rsidRPr="00795A78">
        <w:rPr>
          <w:rFonts w:ascii="Times New Roman" w:hAnsi="Times New Roman" w:cs="Times New Roman"/>
          <w:b/>
          <w:sz w:val="24"/>
          <w:szCs w:val="24"/>
        </w:rPr>
        <w:t>La controverse autour de l</w:t>
      </w:r>
      <w:r w:rsidR="008849F1">
        <w:rPr>
          <w:rFonts w:ascii="Times New Roman" w:hAnsi="Times New Roman" w:cs="Times New Roman"/>
          <w:b/>
          <w:sz w:val="24"/>
          <w:szCs w:val="24"/>
        </w:rPr>
        <w:t>e l’usage du bassin</w:t>
      </w:r>
    </w:p>
    <w:p w:rsidR="008849F1" w:rsidRDefault="008849F1" w:rsidP="00DC7B27">
      <w:pPr>
        <w:pStyle w:val="Sansinterligne"/>
        <w:ind w:left="720"/>
        <w:jc w:val="both"/>
        <w:rPr>
          <w:rFonts w:ascii="Times New Roman" w:hAnsi="Times New Roman" w:cs="Times New Roman"/>
          <w:b/>
          <w:sz w:val="24"/>
          <w:szCs w:val="24"/>
        </w:rPr>
      </w:pPr>
    </w:p>
    <w:p w:rsidR="00A00C07" w:rsidRPr="008849F1" w:rsidRDefault="008849F1" w:rsidP="00DC7B27">
      <w:pPr>
        <w:pStyle w:val="Sansinterligne"/>
        <w:jc w:val="both"/>
        <w:rPr>
          <w:rFonts w:ascii="Times New Roman" w:hAnsi="Times New Roman" w:cs="Times New Roman"/>
          <w:sz w:val="24"/>
          <w:szCs w:val="24"/>
        </w:rPr>
      </w:pPr>
      <w:r w:rsidRPr="008849F1">
        <w:rPr>
          <w:rFonts w:ascii="Times New Roman" w:hAnsi="Times New Roman" w:cs="Times New Roman"/>
          <w:sz w:val="24"/>
          <w:szCs w:val="24"/>
        </w:rPr>
        <w:t xml:space="preserve">A la </w:t>
      </w:r>
      <w:r w:rsidR="0003561D">
        <w:rPr>
          <w:rFonts w:ascii="Times New Roman" w:hAnsi="Times New Roman" w:cs="Times New Roman"/>
          <w:sz w:val="24"/>
          <w:szCs w:val="24"/>
        </w:rPr>
        <w:t>C</w:t>
      </w:r>
      <w:r w:rsidRPr="008849F1">
        <w:rPr>
          <w:rFonts w:ascii="Times New Roman" w:hAnsi="Times New Roman" w:cs="Times New Roman"/>
          <w:sz w:val="24"/>
          <w:szCs w:val="24"/>
        </w:rPr>
        <w:t xml:space="preserve">hefferie, une controverse se développe au début des années 2000 autour de l’usage du bassin d’eau. En effet, </w:t>
      </w:r>
      <w:r>
        <w:rPr>
          <w:rFonts w:ascii="Times New Roman" w:hAnsi="Times New Roman" w:cs="Times New Roman"/>
          <w:sz w:val="24"/>
          <w:szCs w:val="24"/>
        </w:rPr>
        <w:t>un groupement de seize exploitants agricoles utilisent le plan d’eau alors que sur d’autres sites miniers, ces zones contenant des résidus font l’œuvre d’un classement ICPE.</w:t>
      </w:r>
      <w:r w:rsidR="00E1324A">
        <w:rPr>
          <w:rFonts w:ascii="Times New Roman" w:hAnsi="Times New Roman" w:cs="Times New Roman"/>
          <w:sz w:val="24"/>
          <w:szCs w:val="24"/>
        </w:rPr>
        <w:t xml:space="preserve"> Au sein de la commission départementale qui se met en place à partir de </w:t>
      </w:r>
      <w:r w:rsidR="0095573E">
        <w:rPr>
          <w:rFonts w:ascii="Times New Roman" w:hAnsi="Times New Roman" w:cs="Times New Roman"/>
          <w:sz w:val="24"/>
          <w:szCs w:val="24"/>
        </w:rPr>
        <w:t xml:space="preserve">2009 </w:t>
      </w:r>
      <w:r w:rsidR="00E1324A">
        <w:rPr>
          <w:rFonts w:ascii="Times New Roman" w:hAnsi="Times New Roman" w:cs="Times New Roman"/>
          <w:sz w:val="24"/>
          <w:szCs w:val="24"/>
        </w:rPr>
        <w:t>pour gérer le site, les éléments liés aux impacts environnementaux sont cités ainsi que les éléments juridiques qui encadrent le stockage des résidus.  L’appel à une gestion environnementale alignée sur la politique nationale est citée par l’association de défense de l’environnement qui de fait souhaite défendre une mise en œuvre cohérente avec l’ensemble des textes juridiques. Ce point est mis en discussion au sein de la commission départementale, présidée par le préfet qui met en avant la nécessité de s’appuyer des analyses</w:t>
      </w:r>
      <w:r w:rsidR="00C46673">
        <w:rPr>
          <w:rFonts w:ascii="Times New Roman" w:hAnsi="Times New Roman" w:cs="Times New Roman"/>
          <w:sz w:val="24"/>
          <w:szCs w:val="24"/>
        </w:rPr>
        <w:t xml:space="preserve"> in situ</w:t>
      </w:r>
      <w:r w:rsidR="00E1324A">
        <w:rPr>
          <w:rFonts w:ascii="Times New Roman" w:hAnsi="Times New Roman" w:cs="Times New Roman"/>
          <w:sz w:val="24"/>
          <w:szCs w:val="24"/>
        </w:rPr>
        <w:t xml:space="preserve">. </w:t>
      </w:r>
      <w:r w:rsidR="00C46673">
        <w:rPr>
          <w:rFonts w:ascii="Times New Roman" w:hAnsi="Times New Roman" w:cs="Times New Roman"/>
          <w:sz w:val="24"/>
          <w:szCs w:val="24"/>
        </w:rPr>
        <w:t xml:space="preserve">Une controverse s’installe entre l’association locale de défense de l’environnement et les </w:t>
      </w:r>
      <w:r w:rsidR="00C46673">
        <w:rPr>
          <w:rFonts w:ascii="Times New Roman" w:hAnsi="Times New Roman" w:cs="Times New Roman"/>
          <w:sz w:val="24"/>
          <w:szCs w:val="24"/>
        </w:rPr>
        <w:lastRenderedPageBreak/>
        <w:t xml:space="preserve">représentants des services de l’Etat qui s’appuient sur les usages du site et sa reconversion pour maintenir l’existant.   </w:t>
      </w:r>
      <w:r w:rsidR="00E132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9F1">
        <w:rPr>
          <w:rFonts w:ascii="Times New Roman" w:hAnsi="Times New Roman" w:cs="Times New Roman"/>
          <w:sz w:val="24"/>
          <w:szCs w:val="24"/>
        </w:rPr>
        <w:t xml:space="preserve"> </w:t>
      </w:r>
      <w:r w:rsidR="00795A78" w:rsidRPr="008849F1">
        <w:rPr>
          <w:rFonts w:ascii="Times New Roman" w:hAnsi="Times New Roman" w:cs="Times New Roman"/>
          <w:sz w:val="24"/>
          <w:szCs w:val="24"/>
        </w:rPr>
        <w:t xml:space="preserve"> </w:t>
      </w:r>
    </w:p>
    <w:p w:rsidR="00795A78" w:rsidRPr="00795A78" w:rsidRDefault="00795A78" w:rsidP="00DC7B27">
      <w:pPr>
        <w:pStyle w:val="Sansinterligne"/>
        <w:jc w:val="both"/>
        <w:rPr>
          <w:rFonts w:ascii="Times New Roman" w:hAnsi="Times New Roman" w:cs="Times New Roman"/>
          <w:b/>
          <w:sz w:val="24"/>
          <w:szCs w:val="24"/>
        </w:rPr>
      </w:pPr>
    </w:p>
    <w:p w:rsidR="00A00C07" w:rsidRDefault="00C46673" w:rsidP="00DC7B27">
      <w:pPr>
        <w:pStyle w:val="Sansinterligne"/>
        <w:jc w:val="both"/>
        <w:rPr>
          <w:rFonts w:ascii="Times New Roman" w:hAnsi="Times New Roman" w:cs="Times New Roman"/>
          <w:b/>
          <w:sz w:val="24"/>
          <w:szCs w:val="24"/>
        </w:rPr>
      </w:pPr>
      <w:r w:rsidRPr="00C46673">
        <w:rPr>
          <w:rFonts w:ascii="Times New Roman" w:hAnsi="Times New Roman" w:cs="Times New Roman"/>
          <w:b/>
          <w:sz w:val="24"/>
          <w:szCs w:val="24"/>
        </w:rPr>
        <w:t>Une négociation locale sous-jacente</w:t>
      </w:r>
    </w:p>
    <w:p w:rsidR="000C30FF" w:rsidRPr="00C46673" w:rsidRDefault="000C30FF" w:rsidP="00DC7B27">
      <w:pPr>
        <w:pStyle w:val="Sansinterligne"/>
        <w:ind w:left="720"/>
        <w:jc w:val="both"/>
        <w:rPr>
          <w:rFonts w:ascii="Times New Roman" w:hAnsi="Times New Roman" w:cs="Times New Roman"/>
          <w:b/>
          <w:sz w:val="24"/>
          <w:szCs w:val="24"/>
        </w:rPr>
      </w:pPr>
    </w:p>
    <w:p w:rsidR="0000066C" w:rsidRDefault="000C30FF" w:rsidP="00DC7B27">
      <w:pPr>
        <w:pStyle w:val="Sansinterligne"/>
        <w:jc w:val="both"/>
        <w:rPr>
          <w:rFonts w:ascii="Times New Roman" w:hAnsi="Times New Roman" w:cs="Times New Roman"/>
          <w:sz w:val="24"/>
          <w:szCs w:val="24"/>
        </w:rPr>
      </w:pPr>
      <w:r>
        <w:rPr>
          <w:rFonts w:ascii="Times New Roman" w:hAnsi="Times New Roman" w:cs="Times New Roman"/>
          <w:sz w:val="24"/>
          <w:szCs w:val="24"/>
        </w:rPr>
        <w:t>Néanmoins, les formes de régulation qui perdurent localement visent notamment du côté des élus et des services de l’état à maintenir l’usage industriel du site ainsi que l’utilisation du bassin d’eau. L’argumentation mobilisée repose sur le fait que le réaménagement de l’ancien site respecte la réglementation et les enjeux de sécurité.</w:t>
      </w:r>
      <w:r w:rsidR="0000066C">
        <w:rPr>
          <w:rFonts w:ascii="Times New Roman" w:hAnsi="Times New Roman" w:cs="Times New Roman"/>
          <w:sz w:val="24"/>
          <w:szCs w:val="24"/>
        </w:rPr>
        <w:t xml:space="preserve"> Ainsi, la gestion du site fait l’œuvre d’une régulation locale qui associe les représentants des services de l’Etat, les élus locaux, l’ancien industriel et les usagers du site (entreprise industrielle et agriculteurs) pour préserver la reconversion du site et sa dynamique industrielle. Notons que le point d’achoppement concerne de façon plus directe les représentations associées à l’usage agricole du bassin de rétention. Ce point met en exergue de façon directe deux logiques : soit une restriction d’usage au nom d’une politique environnementale déclinée sur l’emble des sites, soit un maintien de l’existant au nom du suivi sanitaire du site et des caractéristiques locales observées par les acteurs.   </w:t>
      </w:r>
    </w:p>
    <w:p w:rsidR="0000066C" w:rsidRDefault="0000066C" w:rsidP="00DC7B27">
      <w:pPr>
        <w:pStyle w:val="Sansinterligne"/>
        <w:jc w:val="both"/>
        <w:rPr>
          <w:rFonts w:ascii="Times New Roman" w:hAnsi="Times New Roman" w:cs="Times New Roman"/>
          <w:sz w:val="24"/>
          <w:szCs w:val="24"/>
        </w:rPr>
      </w:pPr>
    </w:p>
    <w:p w:rsidR="00A00C07" w:rsidRPr="0000066C" w:rsidRDefault="0000066C" w:rsidP="00F73C51">
      <w:pPr>
        <w:pStyle w:val="Sansinterligne"/>
        <w:numPr>
          <w:ilvl w:val="1"/>
          <w:numId w:val="6"/>
        </w:numPr>
        <w:jc w:val="both"/>
        <w:rPr>
          <w:rFonts w:ascii="Times New Roman" w:hAnsi="Times New Roman" w:cs="Times New Roman"/>
          <w:b/>
          <w:sz w:val="24"/>
          <w:szCs w:val="24"/>
        </w:rPr>
      </w:pPr>
      <w:r w:rsidRPr="0000066C">
        <w:rPr>
          <w:rFonts w:ascii="Times New Roman" w:hAnsi="Times New Roman" w:cs="Times New Roman"/>
          <w:b/>
          <w:sz w:val="24"/>
          <w:szCs w:val="24"/>
        </w:rPr>
        <w:t>Saint Martin :</w:t>
      </w:r>
      <w:r w:rsidR="00B65E82">
        <w:rPr>
          <w:rFonts w:ascii="Times New Roman" w:hAnsi="Times New Roman" w:cs="Times New Roman"/>
          <w:b/>
          <w:sz w:val="24"/>
          <w:szCs w:val="24"/>
        </w:rPr>
        <w:t xml:space="preserve"> la </w:t>
      </w:r>
      <w:proofErr w:type="spellStart"/>
      <w:r w:rsidR="00B65E82">
        <w:rPr>
          <w:rFonts w:ascii="Times New Roman" w:hAnsi="Times New Roman" w:cs="Times New Roman"/>
          <w:b/>
          <w:sz w:val="24"/>
          <w:szCs w:val="24"/>
        </w:rPr>
        <w:t>juridiciarisation</w:t>
      </w:r>
      <w:proofErr w:type="spellEnd"/>
      <w:r w:rsidR="00B65E82">
        <w:rPr>
          <w:rFonts w:ascii="Times New Roman" w:hAnsi="Times New Roman" w:cs="Times New Roman"/>
          <w:b/>
          <w:sz w:val="24"/>
          <w:szCs w:val="24"/>
        </w:rPr>
        <w:t xml:space="preserve"> comme modalité d’évaluation environnementale  </w:t>
      </w:r>
      <w:r w:rsidRPr="0000066C">
        <w:rPr>
          <w:rFonts w:ascii="Times New Roman" w:hAnsi="Times New Roman" w:cs="Times New Roman"/>
          <w:b/>
          <w:sz w:val="24"/>
          <w:szCs w:val="24"/>
        </w:rPr>
        <w:t xml:space="preserve"> </w:t>
      </w:r>
      <w:r w:rsidR="000C30FF" w:rsidRPr="0000066C">
        <w:rPr>
          <w:rFonts w:ascii="Times New Roman" w:hAnsi="Times New Roman" w:cs="Times New Roman"/>
          <w:b/>
          <w:sz w:val="24"/>
          <w:szCs w:val="24"/>
        </w:rPr>
        <w:t xml:space="preserve">  </w:t>
      </w:r>
    </w:p>
    <w:p w:rsidR="003D3481" w:rsidRDefault="003D3481" w:rsidP="003D3481">
      <w:pPr>
        <w:pStyle w:val="Sansinterligne"/>
        <w:jc w:val="both"/>
        <w:rPr>
          <w:rFonts w:ascii="Times New Roman" w:hAnsi="Times New Roman" w:cs="Times New Roman"/>
          <w:sz w:val="24"/>
          <w:szCs w:val="24"/>
        </w:rPr>
      </w:pPr>
    </w:p>
    <w:p w:rsidR="003D3481" w:rsidRPr="003D3481" w:rsidRDefault="003D3481" w:rsidP="003D3481">
      <w:pPr>
        <w:pStyle w:val="Sansinterligne"/>
        <w:jc w:val="both"/>
        <w:rPr>
          <w:rFonts w:ascii="Times New Roman" w:hAnsi="Times New Roman" w:cs="Times New Roman"/>
          <w:b/>
          <w:sz w:val="24"/>
          <w:szCs w:val="24"/>
        </w:rPr>
      </w:pPr>
      <w:r w:rsidRPr="003D3481">
        <w:rPr>
          <w:rFonts w:ascii="Times New Roman" w:hAnsi="Times New Roman" w:cs="Times New Roman"/>
          <w:b/>
          <w:sz w:val="24"/>
          <w:szCs w:val="24"/>
        </w:rPr>
        <w:t xml:space="preserve">Une reconversion touristique </w:t>
      </w:r>
    </w:p>
    <w:p w:rsidR="0008255F" w:rsidRDefault="0008255F" w:rsidP="003D3481">
      <w:pPr>
        <w:pStyle w:val="Sansinterligne"/>
        <w:jc w:val="both"/>
        <w:rPr>
          <w:rFonts w:ascii="Times New Roman" w:hAnsi="Times New Roman" w:cs="Times New Roman"/>
          <w:sz w:val="24"/>
          <w:szCs w:val="24"/>
        </w:rPr>
      </w:pPr>
    </w:p>
    <w:p w:rsidR="003D3481" w:rsidRDefault="003D3481" w:rsidP="003D3481">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Situé dans une région touristique et rurale, la reconversion de l’ancienne mine de Saint Martin s’oriente vers le développement d’activités de tourisme et de loisir. </w:t>
      </w:r>
    </w:p>
    <w:p w:rsidR="003D3481" w:rsidRDefault="003D3481" w:rsidP="003D3481">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Dès le début des années 80, le conseil municipal prend contact avec </w:t>
      </w:r>
      <w:r w:rsidR="00601622">
        <w:rPr>
          <w:rFonts w:ascii="Times New Roman" w:hAnsi="Times New Roman" w:cs="Times New Roman"/>
          <w:sz w:val="24"/>
          <w:szCs w:val="24"/>
        </w:rPr>
        <w:t>l’exploitant</w:t>
      </w:r>
      <w:r>
        <w:rPr>
          <w:rFonts w:ascii="Times New Roman" w:hAnsi="Times New Roman" w:cs="Times New Roman"/>
          <w:sz w:val="24"/>
          <w:szCs w:val="24"/>
        </w:rPr>
        <w:t xml:space="preserve"> afin que ce projet soit pris en compte dans les travaux de réaménagement et de fermeture du site.</w:t>
      </w:r>
      <w:r w:rsidRPr="001D5263">
        <w:rPr>
          <w:rFonts w:ascii="Times New Roman" w:hAnsi="Times New Roman" w:cs="Times New Roman"/>
          <w:sz w:val="24"/>
          <w:szCs w:val="24"/>
        </w:rPr>
        <w:t xml:space="preserve"> </w:t>
      </w:r>
      <w:r>
        <w:rPr>
          <w:rFonts w:ascii="Times New Roman" w:hAnsi="Times New Roman" w:cs="Times New Roman"/>
          <w:sz w:val="24"/>
          <w:szCs w:val="24"/>
        </w:rPr>
        <w:t xml:space="preserve">L’emprise laissée par </w:t>
      </w:r>
      <w:r w:rsidR="00601622">
        <w:rPr>
          <w:rFonts w:ascii="Times New Roman" w:hAnsi="Times New Roman" w:cs="Times New Roman"/>
          <w:sz w:val="24"/>
          <w:szCs w:val="24"/>
        </w:rPr>
        <w:t>l’exploitation passée</w:t>
      </w:r>
      <w:r>
        <w:rPr>
          <w:rFonts w:ascii="Times New Roman" w:hAnsi="Times New Roman" w:cs="Times New Roman"/>
          <w:sz w:val="24"/>
          <w:szCs w:val="24"/>
        </w:rPr>
        <w:t xml:space="preserve"> permet d’envisager la création d’un golf, d’un camping et d’autres équipements de loisir (pèche, sport en plein air,..). </w:t>
      </w:r>
    </w:p>
    <w:p w:rsidR="003D3481" w:rsidRDefault="003D3481" w:rsidP="003D3481">
      <w:pPr>
        <w:pStyle w:val="Sansinterligne"/>
        <w:jc w:val="both"/>
        <w:rPr>
          <w:rFonts w:ascii="Times New Roman" w:hAnsi="Times New Roman" w:cs="Times New Roman"/>
          <w:sz w:val="24"/>
          <w:szCs w:val="24"/>
        </w:rPr>
      </w:pPr>
      <w:r>
        <w:rPr>
          <w:rFonts w:ascii="Times New Roman" w:hAnsi="Times New Roman" w:cs="Times New Roman"/>
          <w:sz w:val="24"/>
          <w:szCs w:val="24"/>
        </w:rPr>
        <w:t>Les travaux de réaménagement se déroulent sur une période d’une dizaine d’année au cours de laquelle les anciennes installations vont être démantelées, la mine à ciel ouvert comblée et remodelée et l’ensemble du site nivelé et recouvert de terre végétale. Le stockage de résidu d’extraction de l’uranium est également remodelé et recouvert. Le dossier de cessation d’activité indique : « </w:t>
      </w:r>
      <w:r w:rsidRPr="00601622">
        <w:rPr>
          <w:rFonts w:ascii="Times New Roman" w:hAnsi="Times New Roman" w:cs="Times New Roman"/>
          <w:i/>
          <w:sz w:val="24"/>
          <w:szCs w:val="24"/>
        </w:rPr>
        <w:t xml:space="preserve">le site a été remodelé, sécurité et </w:t>
      </w:r>
      <w:proofErr w:type="spellStart"/>
      <w:r w:rsidRPr="00601622">
        <w:rPr>
          <w:rFonts w:ascii="Times New Roman" w:hAnsi="Times New Roman" w:cs="Times New Roman"/>
          <w:i/>
          <w:sz w:val="24"/>
          <w:szCs w:val="24"/>
        </w:rPr>
        <w:t>végétalisé</w:t>
      </w:r>
      <w:proofErr w:type="spellEnd"/>
      <w:r w:rsidRPr="00601622">
        <w:rPr>
          <w:rFonts w:ascii="Times New Roman" w:hAnsi="Times New Roman" w:cs="Times New Roman"/>
          <w:i/>
          <w:sz w:val="24"/>
          <w:szCs w:val="24"/>
        </w:rPr>
        <w:t>, il s’intègre bien dans le paysage typiquement auvergnat de pâturage et de bois</w:t>
      </w:r>
      <w:r>
        <w:rPr>
          <w:rFonts w:ascii="Times New Roman" w:hAnsi="Times New Roman" w:cs="Times New Roman"/>
          <w:sz w:val="24"/>
          <w:szCs w:val="24"/>
        </w:rPr>
        <w:t> ». Ainsi, à l’issu</w:t>
      </w:r>
      <w:r w:rsidR="00601622">
        <w:rPr>
          <w:rFonts w:ascii="Times New Roman" w:hAnsi="Times New Roman" w:cs="Times New Roman"/>
          <w:sz w:val="24"/>
          <w:szCs w:val="24"/>
        </w:rPr>
        <w:t>e</w:t>
      </w:r>
      <w:r>
        <w:rPr>
          <w:rFonts w:ascii="Times New Roman" w:hAnsi="Times New Roman" w:cs="Times New Roman"/>
          <w:sz w:val="24"/>
          <w:szCs w:val="24"/>
        </w:rPr>
        <w:t xml:space="preserve"> des travaux conduit par </w:t>
      </w:r>
      <w:r w:rsidR="00601622">
        <w:rPr>
          <w:rFonts w:ascii="Times New Roman" w:hAnsi="Times New Roman" w:cs="Times New Roman"/>
          <w:sz w:val="24"/>
          <w:szCs w:val="24"/>
        </w:rPr>
        <w:t>l’industriel</w:t>
      </w:r>
      <w:r>
        <w:rPr>
          <w:rFonts w:ascii="Times New Roman" w:hAnsi="Times New Roman" w:cs="Times New Roman"/>
          <w:sz w:val="24"/>
          <w:szCs w:val="24"/>
        </w:rPr>
        <w:t>, l’effacement des traces industrielles apparaît acquis.</w:t>
      </w:r>
      <w:r w:rsidR="003544ED">
        <w:rPr>
          <w:rFonts w:ascii="Times New Roman" w:hAnsi="Times New Roman" w:cs="Times New Roman"/>
          <w:sz w:val="24"/>
          <w:szCs w:val="24"/>
        </w:rPr>
        <w:t xml:space="preserve"> </w:t>
      </w:r>
      <w:r>
        <w:rPr>
          <w:rFonts w:ascii="Times New Roman" w:hAnsi="Times New Roman" w:cs="Times New Roman"/>
          <w:sz w:val="24"/>
          <w:szCs w:val="24"/>
        </w:rPr>
        <w:t xml:space="preserve">La rétrocession des parcelles à la mairie se met en place, l’exploitant souhaite cependant conserver la propriété de quelques zones sensibles notamment le stockage de résidu. Parallèlement à ces travaux conduits par </w:t>
      </w:r>
      <w:r w:rsidR="00601622">
        <w:rPr>
          <w:rFonts w:ascii="Times New Roman" w:hAnsi="Times New Roman" w:cs="Times New Roman"/>
          <w:sz w:val="24"/>
          <w:szCs w:val="24"/>
        </w:rPr>
        <w:t>l’ancien exploitant</w:t>
      </w:r>
      <w:r>
        <w:rPr>
          <w:rFonts w:ascii="Times New Roman" w:hAnsi="Times New Roman" w:cs="Times New Roman"/>
          <w:sz w:val="24"/>
          <w:szCs w:val="24"/>
        </w:rPr>
        <w:t>, la mairie réalise de nombreux investissements en cohérence avec le projet de reconversion touristique</w:t>
      </w:r>
      <w:r w:rsidR="00601622">
        <w:rPr>
          <w:rFonts w:ascii="Times New Roman" w:hAnsi="Times New Roman" w:cs="Times New Roman"/>
          <w:sz w:val="24"/>
          <w:szCs w:val="24"/>
        </w:rPr>
        <w:t xml:space="preserve"> : </w:t>
      </w:r>
      <w:r>
        <w:rPr>
          <w:rFonts w:ascii="Times New Roman" w:hAnsi="Times New Roman" w:cs="Times New Roman"/>
          <w:sz w:val="24"/>
          <w:szCs w:val="24"/>
        </w:rPr>
        <w:t>construction de bâtiments</w:t>
      </w:r>
      <w:r w:rsidR="003544ED">
        <w:rPr>
          <w:rFonts w:ascii="Times New Roman" w:hAnsi="Times New Roman" w:cs="Times New Roman"/>
          <w:sz w:val="24"/>
          <w:szCs w:val="24"/>
        </w:rPr>
        <w:t xml:space="preserve"> et</w:t>
      </w:r>
      <w:r>
        <w:rPr>
          <w:rFonts w:ascii="Times New Roman" w:hAnsi="Times New Roman" w:cs="Times New Roman"/>
          <w:sz w:val="24"/>
          <w:szCs w:val="24"/>
        </w:rPr>
        <w:t xml:space="preserve"> aménagement d’un plan d’eau</w:t>
      </w:r>
      <w:r w:rsidR="003544ED">
        <w:rPr>
          <w:rFonts w:ascii="Times New Roman" w:hAnsi="Times New Roman" w:cs="Times New Roman"/>
          <w:sz w:val="24"/>
          <w:szCs w:val="24"/>
        </w:rPr>
        <w:t>.</w:t>
      </w:r>
      <w:r>
        <w:rPr>
          <w:rFonts w:ascii="Times New Roman" w:hAnsi="Times New Roman" w:cs="Times New Roman"/>
          <w:sz w:val="24"/>
          <w:szCs w:val="24"/>
        </w:rPr>
        <w:t xml:space="preserve"> Ces investissements se poursuivron</w:t>
      </w:r>
      <w:r w:rsidR="003544ED">
        <w:rPr>
          <w:rFonts w:ascii="Times New Roman" w:hAnsi="Times New Roman" w:cs="Times New Roman"/>
          <w:sz w:val="24"/>
          <w:szCs w:val="24"/>
        </w:rPr>
        <w:t>t</w:t>
      </w:r>
      <w:r>
        <w:rPr>
          <w:rFonts w:ascii="Times New Roman" w:hAnsi="Times New Roman" w:cs="Times New Roman"/>
          <w:sz w:val="24"/>
          <w:szCs w:val="24"/>
        </w:rPr>
        <w:t xml:space="preserve"> jusqu’à une période très récente. Des développements complémentaires sont envisagés notamment avec l’installation d’une centrale photovoltaïque sur certaines zones « sanctuarisées ».</w:t>
      </w:r>
    </w:p>
    <w:p w:rsidR="003D3481" w:rsidRDefault="003D3481" w:rsidP="003D3481">
      <w:pPr>
        <w:pStyle w:val="Sansinterligne"/>
        <w:jc w:val="both"/>
        <w:rPr>
          <w:rFonts w:ascii="Times New Roman" w:hAnsi="Times New Roman" w:cs="Times New Roman"/>
          <w:sz w:val="24"/>
          <w:szCs w:val="24"/>
        </w:rPr>
      </w:pPr>
    </w:p>
    <w:p w:rsidR="003D3481" w:rsidRPr="003D3481" w:rsidRDefault="003D3481" w:rsidP="003D3481">
      <w:pPr>
        <w:pStyle w:val="Sansinterligne"/>
        <w:jc w:val="both"/>
        <w:rPr>
          <w:rFonts w:ascii="Times New Roman" w:hAnsi="Times New Roman" w:cs="Times New Roman"/>
          <w:b/>
          <w:sz w:val="24"/>
          <w:szCs w:val="24"/>
        </w:rPr>
      </w:pPr>
      <w:r w:rsidRPr="003D3481">
        <w:rPr>
          <w:rFonts w:ascii="Times New Roman" w:hAnsi="Times New Roman" w:cs="Times New Roman"/>
          <w:b/>
          <w:sz w:val="24"/>
          <w:szCs w:val="24"/>
        </w:rPr>
        <w:t>L’incompatibilité d’usage comme source de controverse</w:t>
      </w:r>
    </w:p>
    <w:p w:rsidR="0008255F" w:rsidRDefault="0008255F" w:rsidP="003D3481">
      <w:pPr>
        <w:pStyle w:val="Sansinterligne"/>
        <w:jc w:val="both"/>
        <w:rPr>
          <w:rFonts w:ascii="Times New Roman" w:hAnsi="Times New Roman" w:cs="Times New Roman"/>
          <w:sz w:val="24"/>
          <w:szCs w:val="24"/>
        </w:rPr>
      </w:pPr>
    </w:p>
    <w:p w:rsidR="003D3481" w:rsidRDefault="003D3481" w:rsidP="003D3481">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Pourtant, très rapidement après la fin de l’exploitation et pendant les travaux de réaménagement, des habitants expriment des doutes sur la compatibilité du projet de reconversion avec l’historique industriel du site. Des investigations « profanes » sont conduites par plusieurs associations et des anomalies sont constatées : niveaux de rayonnement importants mis en évidence sur plusieurs parcelles, concentrations en radon </w:t>
      </w:r>
      <w:r>
        <w:rPr>
          <w:rFonts w:ascii="Times New Roman" w:hAnsi="Times New Roman" w:cs="Times New Roman"/>
          <w:sz w:val="24"/>
          <w:szCs w:val="24"/>
        </w:rPr>
        <w:lastRenderedPageBreak/>
        <w:t xml:space="preserve">critiques mesurées à l’intérieur des habitations construites à la </w:t>
      </w:r>
      <w:r w:rsidR="0095573E">
        <w:rPr>
          <w:rFonts w:ascii="Times New Roman" w:hAnsi="Times New Roman" w:cs="Times New Roman"/>
          <w:sz w:val="24"/>
          <w:szCs w:val="24"/>
        </w:rPr>
        <w:t xml:space="preserve">périphérie </w:t>
      </w:r>
      <w:r>
        <w:rPr>
          <w:rFonts w:ascii="Times New Roman" w:hAnsi="Times New Roman" w:cs="Times New Roman"/>
          <w:sz w:val="24"/>
          <w:szCs w:val="24"/>
        </w:rPr>
        <w:t>de l’ancienne mine, eaux de surface marquées alimentant le plan d’eau</w:t>
      </w:r>
      <w:r w:rsidR="003544ED">
        <w:rPr>
          <w:rFonts w:ascii="Times New Roman" w:hAnsi="Times New Roman" w:cs="Times New Roman"/>
          <w:sz w:val="24"/>
          <w:szCs w:val="24"/>
        </w:rPr>
        <w:t>.</w:t>
      </w:r>
      <w:r>
        <w:rPr>
          <w:rFonts w:ascii="Times New Roman" w:hAnsi="Times New Roman" w:cs="Times New Roman"/>
          <w:sz w:val="24"/>
          <w:szCs w:val="24"/>
        </w:rPr>
        <w:t xml:space="preserve"> Les polémiques enflent et le conflit s’installe entre toutes les parties prenantes : </w:t>
      </w:r>
      <w:r w:rsidR="0095573E">
        <w:rPr>
          <w:rFonts w:ascii="Times New Roman" w:hAnsi="Times New Roman" w:cs="Times New Roman"/>
          <w:sz w:val="24"/>
          <w:szCs w:val="24"/>
        </w:rPr>
        <w:t xml:space="preserve">habitants, </w:t>
      </w:r>
      <w:r>
        <w:rPr>
          <w:rFonts w:ascii="Times New Roman" w:hAnsi="Times New Roman" w:cs="Times New Roman"/>
          <w:sz w:val="24"/>
          <w:szCs w:val="24"/>
        </w:rPr>
        <w:t xml:space="preserve">associations, mairie, ancien exploitant et autorités. Les média sont convoqués et le site devient un enjeu national. </w:t>
      </w:r>
    </w:p>
    <w:p w:rsidR="003D3481" w:rsidRDefault="003D3481" w:rsidP="003D3481">
      <w:pPr>
        <w:pStyle w:val="Sansinterligne"/>
        <w:jc w:val="both"/>
        <w:rPr>
          <w:rFonts w:ascii="Times New Roman" w:hAnsi="Times New Roman" w:cs="Times New Roman"/>
          <w:sz w:val="24"/>
          <w:szCs w:val="24"/>
        </w:rPr>
      </w:pPr>
    </w:p>
    <w:p w:rsidR="003D3481" w:rsidRPr="003D3481" w:rsidRDefault="003D3481" w:rsidP="003D3481">
      <w:pPr>
        <w:pStyle w:val="Sansinterligne"/>
        <w:jc w:val="both"/>
        <w:rPr>
          <w:rFonts w:ascii="Times New Roman" w:hAnsi="Times New Roman" w:cs="Times New Roman"/>
          <w:b/>
          <w:sz w:val="24"/>
          <w:szCs w:val="24"/>
        </w:rPr>
      </w:pPr>
      <w:r w:rsidRPr="003D3481">
        <w:rPr>
          <w:rFonts w:ascii="Times New Roman" w:hAnsi="Times New Roman" w:cs="Times New Roman"/>
          <w:b/>
          <w:sz w:val="24"/>
          <w:szCs w:val="24"/>
        </w:rPr>
        <w:t xml:space="preserve">L’intervention du juridique et des agences d’expertise d’Etat comme mode de régulation </w:t>
      </w:r>
    </w:p>
    <w:p w:rsidR="0008255F" w:rsidRDefault="0008255F" w:rsidP="003D3481">
      <w:pPr>
        <w:pStyle w:val="Sansinterligne"/>
        <w:jc w:val="both"/>
        <w:rPr>
          <w:rFonts w:ascii="Times New Roman" w:hAnsi="Times New Roman" w:cs="Times New Roman"/>
          <w:sz w:val="24"/>
          <w:szCs w:val="24"/>
        </w:rPr>
      </w:pPr>
    </w:p>
    <w:p w:rsidR="003D3481" w:rsidRDefault="003D3481" w:rsidP="003D3481">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Une première plainte contre </w:t>
      </w:r>
      <w:r w:rsidR="003544ED">
        <w:rPr>
          <w:rFonts w:ascii="Times New Roman" w:hAnsi="Times New Roman" w:cs="Times New Roman"/>
          <w:sz w:val="24"/>
          <w:szCs w:val="24"/>
        </w:rPr>
        <w:t>l’ancien exploitant</w:t>
      </w:r>
      <w:r>
        <w:rPr>
          <w:rFonts w:ascii="Times New Roman" w:hAnsi="Times New Roman" w:cs="Times New Roman"/>
          <w:sz w:val="24"/>
          <w:szCs w:val="24"/>
        </w:rPr>
        <w:t xml:space="preserve"> est déposée par des habitants de Saint Martin bientôt rejointe par les milieux associatifs. Devant l’ampleur du conflit, la préfecture instaure une </w:t>
      </w:r>
      <w:r w:rsidR="00B65E82">
        <w:rPr>
          <w:rFonts w:ascii="Times New Roman" w:hAnsi="Times New Roman" w:cs="Times New Roman"/>
          <w:sz w:val="24"/>
          <w:szCs w:val="24"/>
        </w:rPr>
        <w:t>c</w:t>
      </w:r>
      <w:r w:rsidR="003544ED">
        <w:rPr>
          <w:rFonts w:ascii="Times New Roman" w:hAnsi="Times New Roman" w:cs="Times New Roman"/>
          <w:sz w:val="24"/>
          <w:szCs w:val="24"/>
        </w:rPr>
        <w:t xml:space="preserve">ommission locale d’information </w:t>
      </w:r>
      <w:r>
        <w:rPr>
          <w:rFonts w:ascii="Times New Roman" w:hAnsi="Times New Roman" w:cs="Times New Roman"/>
          <w:sz w:val="24"/>
          <w:szCs w:val="24"/>
        </w:rPr>
        <w:t xml:space="preserve">et mandate l’IRSN </w:t>
      </w:r>
      <w:r w:rsidR="00B65E82" w:rsidRPr="008F0039">
        <w:rPr>
          <w:rFonts w:ascii="Times New Roman" w:hAnsi="Times New Roman" w:cs="Times New Roman"/>
          <w:sz w:val="24"/>
          <w:szCs w:val="24"/>
        </w:rPr>
        <w:t>(</w:t>
      </w:r>
      <w:r w:rsidR="0003561D" w:rsidRPr="008F0039">
        <w:rPr>
          <w:rFonts w:ascii="Times New Roman" w:hAnsi="Times New Roman" w:cs="Times New Roman"/>
          <w:sz w:val="24"/>
          <w:szCs w:val="24"/>
        </w:rPr>
        <w:t>Institut de Radioprotection et de Sûreté Nucléaire</w:t>
      </w:r>
      <w:r w:rsidR="00B65E82" w:rsidRPr="008F0039">
        <w:rPr>
          <w:rFonts w:ascii="Times New Roman" w:hAnsi="Times New Roman" w:cs="Times New Roman"/>
          <w:sz w:val="24"/>
          <w:szCs w:val="24"/>
        </w:rPr>
        <w:t>)</w:t>
      </w:r>
      <w:r w:rsidR="00B65E82" w:rsidRPr="008F0039">
        <w:rPr>
          <w:rFonts w:ascii="Times New Roman" w:hAnsi="Times New Roman" w:cs="Times New Roman"/>
          <w:color w:val="FF0000"/>
          <w:sz w:val="24"/>
          <w:szCs w:val="24"/>
        </w:rPr>
        <w:t xml:space="preserve"> </w:t>
      </w:r>
      <w:r w:rsidRPr="008F0039">
        <w:rPr>
          <w:rFonts w:ascii="Times New Roman" w:hAnsi="Times New Roman" w:cs="Times New Roman"/>
          <w:sz w:val="24"/>
          <w:szCs w:val="24"/>
        </w:rPr>
        <w:t>pour réaliser une expertise destinée à statuer sur l’état du site et de son environnement. L’intervention d’élus, l’écho médiatiq</w:t>
      </w:r>
      <w:r>
        <w:rPr>
          <w:rFonts w:ascii="Times New Roman" w:hAnsi="Times New Roman" w:cs="Times New Roman"/>
          <w:sz w:val="24"/>
          <w:szCs w:val="24"/>
        </w:rPr>
        <w:t>ue national et la mobilisation des associations aboutissent à la saisine d’un second organisme indépendant comme tiers expert.</w:t>
      </w:r>
      <w:r w:rsidR="00857E90">
        <w:rPr>
          <w:rFonts w:ascii="Times New Roman" w:hAnsi="Times New Roman" w:cs="Times New Roman"/>
          <w:sz w:val="24"/>
          <w:szCs w:val="24"/>
        </w:rPr>
        <w:t xml:space="preserve"> </w:t>
      </w:r>
      <w:r>
        <w:rPr>
          <w:rFonts w:ascii="Times New Roman" w:hAnsi="Times New Roman" w:cs="Times New Roman"/>
          <w:sz w:val="24"/>
          <w:szCs w:val="24"/>
        </w:rPr>
        <w:t>Des éléments nouveaux sont constatés et une seconde plainte est déposée, les deux actions judiciaires sont jointes la même année. Désormais, chacun s’en remet à la justice. Un premier procès se déroule en 2013 qui conclut à la relaxe d</w:t>
      </w:r>
      <w:r w:rsidR="00B65E82">
        <w:rPr>
          <w:rFonts w:ascii="Times New Roman" w:hAnsi="Times New Roman" w:cs="Times New Roman"/>
          <w:sz w:val="24"/>
          <w:szCs w:val="24"/>
        </w:rPr>
        <w:t>e l’ancien exploitant</w:t>
      </w:r>
      <w:r>
        <w:rPr>
          <w:rFonts w:ascii="Times New Roman" w:hAnsi="Times New Roman" w:cs="Times New Roman"/>
          <w:sz w:val="24"/>
          <w:szCs w:val="24"/>
        </w:rPr>
        <w:t>, cette relaxe est confirmée en appel en 2015.</w:t>
      </w:r>
    </w:p>
    <w:p w:rsidR="003D3481" w:rsidRDefault="003D3481" w:rsidP="003D3481">
      <w:pPr>
        <w:pStyle w:val="Sansinterligne"/>
        <w:jc w:val="both"/>
        <w:rPr>
          <w:rFonts w:ascii="Times New Roman" w:hAnsi="Times New Roman" w:cs="Times New Roman"/>
          <w:sz w:val="24"/>
          <w:szCs w:val="24"/>
        </w:rPr>
      </w:pPr>
    </w:p>
    <w:p w:rsidR="00A00C07" w:rsidRDefault="00A00C07" w:rsidP="00DC7B27">
      <w:pPr>
        <w:pStyle w:val="Sansinterligne"/>
        <w:jc w:val="both"/>
        <w:rPr>
          <w:rFonts w:ascii="Times New Roman" w:hAnsi="Times New Roman" w:cs="Times New Roman"/>
          <w:sz w:val="24"/>
          <w:szCs w:val="24"/>
        </w:rPr>
      </w:pPr>
    </w:p>
    <w:p w:rsidR="00A00C07" w:rsidRPr="00294A6F" w:rsidRDefault="00294A6F" w:rsidP="00DC7B27">
      <w:pPr>
        <w:pStyle w:val="Sansinterligne"/>
        <w:jc w:val="both"/>
        <w:rPr>
          <w:rFonts w:ascii="Times New Roman" w:hAnsi="Times New Roman" w:cs="Times New Roman"/>
          <w:b/>
          <w:sz w:val="24"/>
          <w:szCs w:val="24"/>
        </w:rPr>
      </w:pPr>
      <w:r w:rsidRPr="00294A6F">
        <w:rPr>
          <w:rFonts w:ascii="Times New Roman" w:hAnsi="Times New Roman" w:cs="Times New Roman"/>
          <w:b/>
          <w:sz w:val="24"/>
          <w:szCs w:val="24"/>
        </w:rPr>
        <w:t>Conclusion</w:t>
      </w:r>
      <w:r>
        <w:rPr>
          <w:rFonts w:ascii="Times New Roman" w:hAnsi="Times New Roman" w:cs="Times New Roman"/>
          <w:b/>
          <w:sz w:val="24"/>
          <w:szCs w:val="24"/>
        </w:rPr>
        <w:t> : Le rôle de l’usage dans les configurations</w:t>
      </w:r>
    </w:p>
    <w:p w:rsidR="00295169" w:rsidRDefault="00295169" w:rsidP="00DC7B27">
      <w:pPr>
        <w:pStyle w:val="Sansinterligne"/>
        <w:jc w:val="both"/>
        <w:rPr>
          <w:rFonts w:ascii="Times New Roman" w:hAnsi="Times New Roman" w:cs="Times New Roman"/>
          <w:sz w:val="24"/>
          <w:szCs w:val="24"/>
        </w:rPr>
      </w:pPr>
    </w:p>
    <w:p w:rsidR="00DC7B27" w:rsidRDefault="00294A6F" w:rsidP="00DC7B27">
      <w:pPr>
        <w:pStyle w:val="Sansinterligne"/>
        <w:jc w:val="both"/>
        <w:rPr>
          <w:rFonts w:ascii="Times New Roman" w:hAnsi="Times New Roman" w:cs="Times New Roman"/>
          <w:sz w:val="24"/>
          <w:szCs w:val="24"/>
        </w:rPr>
      </w:pPr>
      <w:r>
        <w:rPr>
          <w:rFonts w:ascii="Times New Roman" w:hAnsi="Times New Roman" w:cs="Times New Roman"/>
          <w:sz w:val="24"/>
          <w:szCs w:val="24"/>
        </w:rPr>
        <w:t>Sur les trois sites, alors que le cadre réglementaire définit des modalités similaire</w:t>
      </w:r>
      <w:r w:rsidR="00DC7B27">
        <w:rPr>
          <w:rFonts w:ascii="Times New Roman" w:hAnsi="Times New Roman" w:cs="Times New Roman"/>
          <w:sz w:val="24"/>
          <w:szCs w:val="24"/>
        </w:rPr>
        <w:t>s</w:t>
      </w:r>
      <w:r>
        <w:rPr>
          <w:rFonts w:ascii="Times New Roman" w:hAnsi="Times New Roman" w:cs="Times New Roman"/>
          <w:sz w:val="24"/>
          <w:szCs w:val="24"/>
        </w:rPr>
        <w:t xml:space="preserve"> de mises en </w:t>
      </w:r>
      <w:proofErr w:type="spellStart"/>
      <w:r>
        <w:rPr>
          <w:rFonts w:ascii="Times New Roman" w:hAnsi="Times New Roman" w:cs="Times New Roman"/>
          <w:sz w:val="24"/>
          <w:szCs w:val="24"/>
        </w:rPr>
        <w:t>oeuvre</w:t>
      </w:r>
      <w:proofErr w:type="spellEnd"/>
      <w:r>
        <w:rPr>
          <w:rFonts w:ascii="Times New Roman" w:hAnsi="Times New Roman" w:cs="Times New Roman"/>
          <w:sz w:val="24"/>
          <w:szCs w:val="24"/>
        </w:rPr>
        <w:t xml:space="preserve"> des mesures des impacts environnementaux, leur déclinaison s’avère fortement différenciée. </w:t>
      </w:r>
      <w:r w:rsidR="00DC7B27">
        <w:rPr>
          <w:rFonts w:ascii="Times New Roman" w:hAnsi="Times New Roman" w:cs="Times New Roman"/>
          <w:sz w:val="24"/>
          <w:szCs w:val="24"/>
        </w:rPr>
        <w:t xml:space="preserve">Trois configurations se distinguent. La première concerne une régulation locale des impacts environnementaux. </w:t>
      </w:r>
      <w:r w:rsidR="00755416">
        <w:rPr>
          <w:rFonts w:ascii="Times New Roman" w:hAnsi="Times New Roman" w:cs="Times New Roman"/>
          <w:sz w:val="24"/>
          <w:szCs w:val="24"/>
        </w:rPr>
        <w:t>La reconversion industrielle du site</w:t>
      </w:r>
      <w:r w:rsidR="00B65E82">
        <w:rPr>
          <w:rFonts w:ascii="Times New Roman" w:hAnsi="Times New Roman" w:cs="Times New Roman"/>
          <w:sz w:val="24"/>
          <w:szCs w:val="24"/>
        </w:rPr>
        <w:t xml:space="preserve">, vécue localement comme un prolongement de l’histoire, </w:t>
      </w:r>
      <w:r w:rsidR="00755416">
        <w:rPr>
          <w:rFonts w:ascii="Times New Roman" w:hAnsi="Times New Roman" w:cs="Times New Roman"/>
          <w:sz w:val="24"/>
          <w:szCs w:val="24"/>
        </w:rPr>
        <w:t>participe à protéger l’usage du territoire et les impacts environnementaux sont gérés localement entre l’association de défense de l’environnement, l’ancien exploitant et les élus locaux. Ce mode de régulation vise à prolonger et maintenir l’activité industrielle en privilégiant une décision qui respecte la dynamique locale. La deuxième configu</w:t>
      </w:r>
      <w:r w:rsidR="003D3481">
        <w:rPr>
          <w:rFonts w:ascii="Times New Roman" w:hAnsi="Times New Roman" w:cs="Times New Roman"/>
          <w:sz w:val="24"/>
          <w:szCs w:val="24"/>
        </w:rPr>
        <w:t>r</w:t>
      </w:r>
      <w:r w:rsidR="00755416">
        <w:rPr>
          <w:rFonts w:ascii="Times New Roman" w:hAnsi="Times New Roman" w:cs="Times New Roman"/>
          <w:sz w:val="24"/>
          <w:szCs w:val="24"/>
        </w:rPr>
        <w:t>ation</w:t>
      </w:r>
      <w:r w:rsidR="00B65E82">
        <w:rPr>
          <w:rFonts w:ascii="Times New Roman" w:hAnsi="Times New Roman" w:cs="Times New Roman"/>
          <w:sz w:val="24"/>
          <w:szCs w:val="24"/>
        </w:rPr>
        <w:t xml:space="preserve"> met en relief les controverses issues d’usage</w:t>
      </w:r>
      <w:r w:rsidR="002B01B3">
        <w:rPr>
          <w:rFonts w:ascii="Times New Roman" w:hAnsi="Times New Roman" w:cs="Times New Roman"/>
          <w:sz w:val="24"/>
          <w:szCs w:val="24"/>
        </w:rPr>
        <w:t>s</w:t>
      </w:r>
      <w:r w:rsidR="00B65E82">
        <w:rPr>
          <w:rFonts w:ascii="Times New Roman" w:hAnsi="Times New Roman" w:cs="Times New Roman"/>
          <w:sz w:val="24"/>
          <w:szCs w:val="24"/>
        </w:rPr>
        <w:t xml:space="preserve"> pluriels du site. Si la r</w:t>
      </w:r>
      <w:r w:rsidR="002B01B3">
        <w:rPr>
          <w:rFonts w:ascii="Times New Roman" w:hAnsi="Times New Roman" w:cs="Times New Roman"/>
          <w:sz w:val="24"/>
          <w:szCs w:val="24"/>
        </w:rPr>
        <w:t xml:space="preserve">econversion industrielle du site ne suscite pas d’opposition, l’usage du bassin d’eau à destination agricole suscite une polémique plus forte. Néanmoins, l’accord local sur préservation de la dimension industrielle nourrit une négociation qui maintient la régulation locale. </w:t>
      </w:r>
      <w:r w:rsidR="00755416">
        <w:rPr>
          <w:rFonts w:ascii="Times New Roman" w:hAnsi="Times New Roman" w:cs="Times New Roman"/>
          <w:sz w:val="24"/>
          <w:szCs w:val="24"/>
        </w:rPr>
        <w:t xml:space="preserve">La troisième configuration </w:t>
      </w:r>
      <w:r w:rsidR="00857E90">
        <w:rPr>
          <w:rFonts w:ascii="Times New Roman" w:hAnsi="Times New Roman" w:cs="Times New Roman"/>
          <w:sz w:val="24"/>
          <w:szCs w:val="24"/>
        </w:rPr>
        <w:t xml:space="preserve">illustre la </w:t>
      </w:r>
      <w:proofErr w:type="spellStart"/>
      <w:r w:rsidR="00857E90">
        <w:rPr>
          <w:rFonts w:ascii="Times New Roman" w:hAnsi="Times New Roman" w:cs="Times New Roman"/>
          <w:sz w:val="24"/>
          <w:szCs w:val="24"/>
        </w:rPr>
        <w:t>juridiciarisation</w:t>
      </w:r>
      <w:proofErr w:type="spellEnd"/>
      <w:r w:rsidR="00857E90">
        <w:rPr>
          <w:rFonts w:ascii="Times New Roman" w:hAnsi="Times New Roman" w:cs="Times New Roman"/>
          <w:sz w:val="24"/>
          <w:szCs w:val="24"/>
        </w:rPr>
        <w:t xml:space="preserve"> et la montée en généralité pour évaluer les dommages environnementaux. Les usages touristiques et publics du site participent à poser avec acuité la question de la compatibilité de ces usages avec le passif du site.</w:t>
      </w:r>
    </w:p>
    <w:p w:rsidR="00294A6F" w:rsidRDefault="00294A6F" w:rsidP="00DC7B27">
      <w:pPr>
        <w:pStyle w:val="Sansinterligne"/>
        <w:jc w:val="both"/>
        <w:rPr>
          <w:rFonts w:ascii="Times New Roman" w:hAnsi="Times New Roman" w:cs="Times New Roman"/>
          <w:sz w:val="24"/>
          <w:szCs w:val="24"/>
        </w:rPr>
      </w:pPr>
    </w:p>
    <w:p w:rsidR="008F0039" w:rsidRDefault="008F0039" w:rsidP="00DC7B27">
      <w:pPr>
        <w:pStyle w:val="Sansinterligne"/>
        <w:jc w:val="both"/>
        <w:rPr>
          <w:rFonts w:ascii="Times New Roman" w:hAnsi="Times New Roman" w:cs="Times New Roman"/>
          <w:sz w:val="24"/>
          <w:szCs w:val="24"/>
        </w:rPr>
      </w:pPr>
    </w:p>
    <w:p w:rsidR="008F0039" w:rsidRDefault="008F0039" w:rsidP="00DC7B27">
      <w:pPr>
        <w:pStyle w:val="Sansinterligne"/>
        <w:jc w:val="both"/>
        <w:rPr>
          <w:rFonts w:ascii="Times New Roman" w:hAnsi="Times New Roman" w:cs="Times New Roman"/>
          <w:sz w:val="24"/>
          <w:szCs w:val="24"/>
        </w:rPr>
      </w:pPr>
    </w:p>
    <w:p w:rsidR="008F0039" w:rsidRDefault="008F0039" w:rsidP="00DC7B27">
      <w:pPr>
        <w:pStyle w:val="Sansinterligne"/>
        <w:jc w:val="both"/>
        <w:rPr>
          <w:rFonts w:ascii="Times New Roman" w:hAnsi="Times New Roman" w:cs="Times New Roman"/>
          <w:sz w:val="24"/>
          <w:szCs w:val="24"/>
        </w:rPr>
      </w:pPr>
    </w:p>
    <w:p w:rsidR="008F0039" w:rsidRDefault="008F0039" w:rsidP="00DC7B27">
      <w:pPr>
        <w:pStyle w:val="Sansinterligne"/>
        <w:jc w:val="both"/>
        <w:rPr>
          <w:rFonts w:ascii="Times New Roman" w:hAnsi="Times New Roman" w:cs="Times New Roman"/>
          <w:sz w:val="24"/>
          <w:szCs w:val="24"/>
        </w:rPr>
      </w:pPr>
    </w:p>
    <w:p w:rsidR="008F0039" w:rsidRDefault="008F0039" w:rsidP="00DC7B27">
      <w:pPr>
        <w:pStyle w:val="Sansinterligne"/>
        <w:jc w:val="both"/>
        <w:rPr>
          <w:rFonts w:ascii="Times New Roman" w:hAnsi="Times New Roman" w:cs="Times New Roman"/>
          <w:sz w:val="24"/>
          <w:szCs w:val="24"/>
        </w:rPr>
      </w:pPr>
    </w:p>
    <w:p w:rsidR="008F0039" w:rsidRDefault="008F0039" w:rsidP="00DC7B27">
      <w:pPr>
        <w:pStyle w:val="Sansinterligne"/>
        <w:jc w:val="both"/>
        <w:rPr>
          <w:rFonts w:ascii="Times New Roman" w:hAnsi="Times New Roman" w:cs="Times New Roman"/>
          <w:sz w:val="24"/>
          <w:szCs w:val="24"/>
        </w:rPr>
      </w:pPr>
    </w:p>
    <w:p w:rsidR="008F0039" w:rsidRDefault="008F0039" w:rsidP="00DC7B27">
      <w:pPr>
        <w:pStyle w:val="Sansinterligne"/>
        <w:jc w:val="both"/>
        <w:rPr>
          <w:rFonts w:ascii="Times New Roman" w:hAnsi="Times New Roman" w:cs="Times New Roman"/>
          <w:sz w:val="24"/>
          <w:szCs w:val="24"/>
        </w:rPr>
      </w:pPr>
    </w:p>
    <w:p w:rsidR="008F0039" w:rsidRDefault="008F0039" w:rsidP="00DC7B27">
      <w:pPr>
        <w:pStyle w:val="Sansinterligne"/>
        <w:jc w:val="both"/>
        <w:rPr>
          <w:rFonts w:ascii="Times New Roman" w:hAnsi="Times New Roman" w:cs="Times New Roman"/>
          <w:sz w:val="24"/>
          <w:szCs w:val="24"/>
        </w:rPr>
      </w:pPr>
    </w:p>
    <w:p w:rsidR="008F0039" w:rsidRDefault="008F0039" w:rsidP="00DC7B27">
      <w:pPr>
        <w:pStyle w:val="Sansinterligne"/>
        <w:jc w:val="both"/>
        <w:rPr>
          <w:rFonts w:ascii="Times New Roman" w:hAnsi="Times New Roman" w:cs="Times New Roman"/>
          <w:sz w:val="24"/>
          <w:szCs w:val="24"/>
        </w:rPr>
      </w:pPr>
    </w:p>
    <w:p w:rsidR="008F0039" w:rsidRDefault="008F0039" w:rsidP="00DC7B27">
      <w:pPr>
        <w:pStyle w:val="Sansinterligne"/>
        <w:jc w:val="both"/>
        <w:rPr>
          <w:rFonts w:ascii="Times New Roman" w:hAnsi="Times New Roman" w:cs="Times New Roman"/>
          <w:sz w:val="24"/>
          <w:szCs w:val="24"/>
        </w:rPr>
      </w:pPr>
    </w:p>
    <w:p w:rsidR="008F0039" w:rsidRDefault="008F0039" w:rsidP="00DC7B27">
      <w:pPr>
        <w:pStyle w:val="Sansinterligne"/>
        <w:jc w:val="both"/>
        <w:rPr>
          <w:rFonts w:ascii="Times New Roman" w:hAnsi="Times New Roman" w:cs="Times New Roman"/>
          <w:sz w:val="24"/>
          <w:szCs w:val="24"/>
        </w:rPr>
      </w:pPr>
    </w:p>
    <w:p w:rsidR="008F0039" w:rsidRDefault="008F0039" w:rsidP="00DC7B27">
      <w:pPr>
        <w:pStyle w:val="Sansinterligne"/>
        <w:jc w:val="both"/>
        <w:rPr>
          <w:rFonts w:ascii="Times New Roman" w:hAnsi="Times New Roman" w:cs="Times New Roman"/>
          <w:sz w:val="24"/>
          <w:szCs w:val="24"/>
        </w:rPr>
      </w:pPr>
    </w:p>
    <w:p w:rsidR="00294A6F" w:rsidRPr="00857E90" w:rsidRDefault="00857E90" w:rsidP="00DC7B27">
      <w:pPr>
        <w:pStyle w:val="Sansinterligne"/>
        <w:jc w:val="both"/>
        <w:rPr>
          <w:rFonts w:ascii="Times New Roman" w:hAnsi="Times New Roman" w:cs="Times New Roman"/>
          <w:b/>
          <w:sz w:val="24"/>
          <w:szCs w:val="24"/>
        </w:rPr>
      </w:pPr>
      <w:r w:rsidRPr="00857E90">
        <w:rPr>
          <w:rFonts w:ascii="Times New Roman" w:hAnsi="Times New Roman" w:cs="Times New Roman"/>
          <w:b/>
          <w:sz w:val="24"/>
          <w:szCs w:val="24"/>
        </w:rPr>
        <w:lastRenderedPageBreak/>
        <w:t xml:space="preserve">Tableau : Les trois configurations d’usage </w:t>
      </w:r>
    </w:p>
    <w:p w:rsidR="00294A6F" w:rsidRPr="0068666D" w:rsidRDefault="00294A6F" w:rsidP="00DC7B2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Grilledutableau"/>
        <w:tblW w:w="9322" w:type="dxa"/>
        <w:tblLayout w:type="fixed"/>
        <w:tblLook w:val="0420"/>
      </w:tblPr>
      <w:tblGrid>
        <w:gridCol w:w="1384"/>
        <w:gridCol w:w="1985"/>
        <w:gridCol w:w="1417"/>
        <w:gridCol w:w="2079"/>
        <w:gridCol w:w="2457"/>
      </w:tblGrid>
      <w:tr w:rsidR="002B01B3" w:rsidRPr="0068666D" w:rsidTr="002B01B3">
        <w:tc>
          <w:tcPr>
            <w:tcW w:w="1384" w:type="dxa"/>
          </w:tcPr>
          <w:p w:rsidR="002B01B3" w:rsidRPr="00DC7B27" w:rsidRDefault="002B01B3" w:rsidP="00DC7B27">
            <w:pPr>
              <w:pStyle w:val="Sansinterligne"/>
              <w:jc w:val="both"/>
              <w:rPr>
                <w:rFonts w:ascii="Times New Roman" w:hAnsi="Times New Roman" w:cs="Times New Roman"/>
                <w:b/>
                <w:sz w:val="24"/>
                <w:szCs w:val="24"/>
              </w:rPr>
            </w:pPr>
          </w:p>
        </w:tc>
        <w:tc>
          <w:tcPr>
            <w:tcW w:w="1985" w:type="dxa"/>
          </w:tcPr>
          <w:p w:rsidR="002B01B3" w:rsidRPr="00DC7B27" w:rsidRDefault="002B01B3" w:rsidP="00DC7B27">
            <w:pPr>
              <w:pStyle w:val="Sansinterligne"/>
              <w:jc w:val="both"/>
              <w:rPr>
                <w:rFonts w:ascii="Times New Roman" w:hAnsi="Times New Roman" w:cs="Times New Roman"/>
                <w:b/>
                <w:sz w:val="24"/>
                <w:szCs w:val="24"/>
              </w:rPr>
            </w:pPr>
            <w:r w:rsidRPr="00DC7B27">
              <w:rPr>
                <w:rFonts w:ascii="Times New Roman" w:hAnsi="Times New Roman" w:cs="Times New Roman"/>
                <w:b/>
                <w:sz w:val="24"/>
                <w:szCs w:val="24"/>
              </w:rPr>
              <w:t>Usages</w:t>
            </w:r>
            <w:r>
              <w:rPr>
                <w:rFonts w:ascii="Times New Roman" w:hAnsi="Times New Roman" w:cs="Times New Roman"/>
                <w:b/>
                <w:sz w:val="24"/>
                <w:szCs w:val="24"/>
              </w:rPr>
              <w:t xml:space="preserve"> du site après réaménagement</w:t>
            </w:r>
          </w:p>
        </w:tc>
        <w:tc>
          <w:tcPr>
            <w:tcW w:w="1417" w:type="dxa"/>
          </w:tcPr>
          <w:p w:rsidR="002B01B3" w:rsidRPr="00DC7B27" w:rsidRDefault="002B01B3" w:rsidP="00DC7B27">
            <w:pPr>
              <w:pStyle w:val="Sansinterligne"/>
              <w:jc w:val="both"/>
              <w:rPr>
                <w:rFonts w:ascii="Times New Roman" w:hAnsi="Times New Roman" w:cs="Times New Roman"/>
                <w:b/>
                <w:sz w:val="24"/>
                <w:szCs w:val="24"/>
              </w:rPr>
            </w:pPr>
            <w:r w:rsidRPr="00DC7B27">
              <w:rPr>
                <w:rFonts w:ascii="Times New Roman" w:hAnsi="Times New Roman" w:cs="Times New Roman"/>
                <w:b/>
                <w:sz w:val="24"/>
                <w:szCs w:val="24"/>
              </w:rPr>
              <w:t>Restes</w:t>
            </w:r>
          </w:p>
        </w:tc>
        <w:tc>
          <w:tcPr>
            <w:tcW w:w="2079" w:type="dxa"/>
            <w:tcBorders>
              <w:right w:val="nil"/>
            </w:tcBorders>
          </w:tcPr>
          <w:p w:rsidR="002B01B3" w:rsidRPr="00DC7B27" w:rsidRDefault="002B01B3" w:rsidP="00DC7B27">
            <w:pPr>
              <w:pStyle w:val="Sansinterligne"/>
              <w:jc w:val="both"/>
              <w:rPr>
                <w:rFonts w:ascii="Times New Roman" w:hAnsi="Times New Roman" w:cs="Times New Roman"/>
                <w:b/>
                <w:sz w:val="24"/>
                <w:szCs w:val="24"/>
              </w:rPr>
            </w:pPr>
            <w:r w:rsidRPr="00DC7B27">
              <w:rPr>
                <w:rFonts w:ascii="Times New Roman" w:hAnsi="Times New Roman" w:cs="Times New Roman"/>
                <w:b/>
                <w:sz w:val="24"/>
                <w:szCs w:val="24"/>
              </w:rPr>
              <w:t>Nature de la controverse</w:t>
            </w:r>
          </w:p>
        </w:tc>
        <w:tc>
          <w:tcPr>
            <w:tcW w:w="2457" w:type="dxa"/>
          </w:tcPr>
          <w:p w:rsidR="002B01B3" w:rsidRPr="00DC7B27" w:rsidRDefault="002B01B3" w:rsidP="00DC7B27">
            <w:pPr>
              <w:pStyle w:val="Sansinterligne"/>
              <w:jc w:val="both"/>
              <w:rPr>
                <w:rFonts w:ascii="Times New Roman" w:hAnsi="Times New Roman" w:cs="Times New Roman"/>
                <w:b/>
                <w:sz w:val="24"/>
                <w:szCs w:val="24"/>
              </w:rPr>
            </w:pPr>
            <w:r w:rsidRPr="00DC7B27">
              <w:rPr>
                <w:rFonts w:ascii="Times New Roman" w:hAnsi="Times New Roman" w:cs="Times New Roman"/>
                <w:b/>
                <w:sz w:val="24"/>
                <w:szCs w:val="24"/>
              </w:rPr>
              <w:t>Régulation</w:t>
            </w:r>
          </w:p>
        </w:tc>
      </w:tr>
      <w:tr w:rsidR="002B01B3" w:rsidRPr="0068666D" w:rsidTr="002B01B3">
        <w:tc>
          <w:tcPr>
            <w:tcW w:w="1384" w:type="dxa"/>
          </w:tcPr>
          <w:p w:rsidR="002B01B3" w:rsidRPr="00DC7B27" w:rsidRDefault="002B01B3" w:rsidP="00DC7B27">
            <w:pPr>
              <w:pStyle w:val="Sansinterligne"/>
              <w:jc w:val="both"/>
              <w:rPr>
                <w:rFonts w:ascii="Times New Roman" w:hAnsi="Times New Roman" w:cs="Times New Roman"/>
                <w:b/>
                <w:sz w:val="24"/>
                <w:szCs w:val="24"/>
              </w:rPr>
            </w:pPr>
            <w:r w:rsidRPr="00DC7B27">
              <w:rPr>
                <w:rFonts w:ascii="Times New Roman" w:hAnsi="Times New Roman" w:cs="Times New Roman"/>
                <w:b/>
                <w:sz w:val="24"/>
                <w:szCs w:val="24"/>
              </w:rPr>
              <w:t>Chefferie</w:t>
            </w:r>
          </w:p>
        </w:tc>
        <w:tc>
          <w:tcPr>
            <w:tcW w:w="1985" w:type="dxa"/>
          </w:tcPr>
          <w:p w:rsidR="002B01B3" w:rsidRDefault="002B01B3" w:rsidP="00DC7B27">
            <w:pPr>
              <w:pStyle w:val="Sansinterligne"/>
              <w:jc w:val="both"/>
              <w:rPr>
                <w:rFonts w:ascii="Times New Roman" w:hAnsi="Times New Roman" w:cs="Times New Roman"/>
                <w:sz w:val="24"/>
                <w:szCs w:val="24"/>
              </w:rPr>
            </w:pPr>
            <w:r w:rsidRPr="00EA590F">
              <w:rPr>
                <w:rFonts w:ascii="Times New Roman" w:hAnsi="Times New Roman" w:cs="Times New Roman"/>
                <w:sz w:val="24"/>
                <w:szCs w:val="24"/>
              </w:rPr>
              <w:t xml:space="preserve">Industriel / </w:t>
            </w:r>
          </w:p>
          <w:p w:rsidR="002B01B3" w:rsidRDefault="002B01B3" w:rsidP="00DC7B27">
            <w:pPr>
              <w:pStyle w:val="Sansinterligne"/>
              <w:jc w:val="both"/>
              <w:rPr>
                <w:rFonts w:ascii="Times New Roman" w:hAnsi="Times New Roman" w:cs="Times New Roman"/>
                <w:sz w:val="24"/>
                <w:szCs w:val="24"/>
              </w:rPr>
            </w:pPr>
            <w:r w:rsidRPr="00EA590F">
              <w:rPr>
                <w:rFonts w:ascii="Times New Roman" w:hAnsi="Times New Roman" w:cs="Times New Roman"/>
                <w:sz w:val="24"/>
                <w:szCs w:val="24"/>
              </w:rPr>
              <w:t>Agricole</w:t>
            </w:r>
          </w:p>
          <w:p w:rsidR="002B01B3" w:rsidRDefault="002B01B3" w:rsidP="00DC7B27">
            <w:pPr>
              <w:pStyle w:val="Sansinterligne"/>
              <w:jc w:val="both"/>
              <w:rPr>
                <w:rFonts w:ascii="Times New Roman" w:hAnsi="Times New Roman" w:cs="Times New Roman"/>
                <w:sz w:val="24"/>
                <w:szCs w:val="24"/>
              </w:rPr>
            </w:pPr>
          </w:p>
          <w:p w:rsidR="002B01B3" w:rsidRPr="00EA590F" w:rsidRDefault="002B01B3" w:rsidP="00DC7B27">
            <w:pPr>
              <w:pStyle w:val="Sansinterligne"/>
              <w:jc w:val="both"/>
              <w:rPr>
                <w:rFonts w:ascii="Times New Roman" w:hAnsi="Times New Roman" w:cs="Times New Roman"/>
                <w:sz w:val="24"/>
                <w:szCs w:val="24"/>
              </w:rPr>
            </w:pPr>
          </w:p>
        </w:tc>
        <w:tc>
          <w:tcPr>
            <w:tcW w:w="1417" w:type="dxa"/>
          </w:tcPr>
          <w:p w:rsidR="002B01B3" w:rsidRPr="00EA590F" w:rsidRDefault="002B01B3" w:rsidP="00DC7B27">
            <w:pPr>
              <w:pStyle w:val="Sansinterligne"/>
              <w:jc w:val="both"/>
              <w:rPr>
                <w:rFonts w:ascii="Times New Roman" w:hAnsi="Times New Roman" w:cs="Times New Roman"/>
                <w:sz w:val="24"/>
                <w:szCs w:val="24"/>
              </w:rPr>
            </w:pPr>
            <w:r w:rsidRPr="00EA590F">
              <w:rPr>
                <w:rFonts w:ascii="Times New Roman" w:hAnsi="Times New Roman" w:cs="Times New Roman"/>
                <w:sz w:val="24"/>
                <w:szCs w:val="24"/>
              </w:rPr>
              <w:t>Résidus</w:t>
            </w:r>
          </w:p>
          <w:p w:rsidR="002B01B3" w:rsidRPr="00EA590F" w:rsidRDefault="002B01B3" w:rsidP="00DC7B27">
            <w:pPr>
              <w:pStyle w:val="Sansinterligne"/>
              <w:jc w:val="both"/>
              <w:rPr>
                <w:rFonts w:ascii="Times New Roman" w:hAnsi="Times New Roman" w:cs="Times New Roman"/>
                <w:sz w:val="24"/>
                <w:szCs w:val="24"/>
              </w:rPr>
            </w:pPr>
          </w:p>
        </w:tc>
        <w:tc>
          <w:tcPr>
            <w:tcW w:w="2079" w:type="dxa"/>
            <w:tcBorders>
              <w:right w:val="nil"/>
            </w:tcBorders>
          </w:tcPr>
          <w:p w:rsidR="002B01B3" w:rsidRPr="00EA590F" w:rsidRDefault="00857E90" w:rsidP="00DC7B27">
            <w:pPr>
              <w:pStyle w:val="Sansinterligne"/>
              <w:jc w:val="both"/>
              <w:rPr>
                <w:rFonts w:ascii="Times New Roman" w:hAnsi="Times New Roman" w:cs="Times New Roman"/>
                <w:sz w:val="24"/>
                <w:szCs w:val="24"/>
              </w:rPr>
            </w:pPr>
            <w:r>
              <w:rPr>
                <w:rFonts w:ascii="Times New Roman" w:hAnsi="Times New Roman" w:cs="Times New Roman"/>
                <w:sz w:val="24"/>
                <w:szCs w:val="24"/>
              </w:rPr>
              <w:t>U</w:t>
            </w:r>
            <w:r w:rsidR="002B01B3" w:rsidRPr="00EA590F">
              <w:rPr>
                <w:rFonts w:ascii="Times New Roman" w:hAnsi="Times New Roman" w:cs="Times New Roman"/>
                <w:sz w:val="24"/>
                <w:szCs w:val="24"/>
              </w:rPr>
              <w:t>sage</w:t>
            </w:r>
            <w:r>
              <w:rPr>
                <w:rFonts w:ascii="Times New Roman" w:hAnsi="Times New Roman" w:cs="Times New Roman"/>
                <w:sz w:val="24"/>
                <w:szCs w:val="24"/>
              </w:rPr>
              <w:t xml:space="preserve"> agricole du site et utilisation du bassin d’eau</w:t>
            </w:r>
          </w:p>
        </w:tc>
        <w:tc>
          <w:tcPr>
            <w:tcW w:w="2457" w:type="dxa"/>
          </w:tcPr>
          <w:p w:rsidR="002B01B3" w:rsidRPr="00DC7B27" w:rsidRDefault="002B01B3" w:rsidP="00DC7B27">
            <w:pPr>
              <w:pStyle w:val="Sansinterligne"/>
              <w:jc w:val="both"/>
              <w:rPr>
                <w:rFonts w:ascii="Times New Roman" w:hAnsi="Times New Roman" w:cs="Times New Roman"/>
                <w:b/>
                <w:sz w:val="24"/>
                <w:szCs w:val="24"/>
              </w:rPr>
            </w:pPr>
            <w:r>
              <w:rPr>
                <w:rFonts w:ascii="Times New Roman" w:hAnsi="Times New Roman" w:cs="Times New Roman"/>
                <w:b/>
                <w:sz w:val="24"/>
                <w:szCs w:val="24"/>
              </w:rPr>
              <w:t>Négociation l</w:t>
            </w:r>
            <w:r w:rsidRPr="00DC7B27">
              <w:rPr>
                <w:rFonts w:ascii="Times New Roman" w:hAnsi="Times New Roman" w:cs="Times New Roman"/>
                <w:b/>
                <w:sz w:val="24"/>
                <w:szCs w:val="24"/>
              </w:rPr>
              <w:t xml:space="preserve">ocale </w:t>
            </w:r>
          </w:p>
        </w:tc>
      </w:tr>
      <w:tr w:rsidR="002B01B3" w:rsidRPr="0068666D" w:rsidTr="002B01B3">
        <w:tc>
          <w:tcPr>
            <w:tcW w:w="1384" w:type="dxa"/>
          </w:tcPr>
          <w:p w:rsidR="002B01B3" w:rsidRPr="00DC7B27" w:rsidRDefault="002B01B3" w:rsidP="00DC7B27">
            <w:pPr>
              <w:pStyle w:val="Sansinterligne"/>
              <w:jc w:val="both"/>
              <w:rPr>
                <w:rFonts w:ascii="Times New Roman" w:hAnsi="Times New Roman" w:cs="Times New Roman"/>
                <w:b/>
                <w:sz w:val="24"/>
                <w:szCs w:val="24"/>
              </w:rPr>
            </w:pPr>
            <w:r w:rsidRPr="00DC7B27">
              <w:rPr>
                <w:rFonts w:ascii="Times New Roman" w:hAnsi="Times New Roman" w:cs="Times New Roman"/>
                <w:b/>
                <w:sz w:val="24"/>
                <w:szCs w:val="24"/>
              </w:rPr>
              <w:t>Bleuet</w:t>
            </w:r>
          </w:p>
        </w:tc>
        <w:tc>
          <w:tcPr>
            <w:tcW w:w="1985" w:type="dxa"/>
          </w:tcPr>
          <w:p w:rsidR="002B01B3" w:rsidRDefault="002B01B3" w:rsidP="00DC7B27">
            <w:pPr>
              <w:pStyle w:val="Sansinterligne"/>
              <w:jc w:val="both"/>
              <w:rPr>
                <w:rFonts w:ascii="Times New Roman" w:hAnsi="Times New Roman" w:cs="Times New Roman"/>
                <w:sz w:val="24"/>
                <w:szCs w:val="24"/>
              </w:rPr>
            </w:pPr>
            <w:r w:rsidRPr="00EA590F">
              <w:rPr>
                <w:rFonts w:ascii="Times New Roman" w:hAnsi="Times New Roman" w:cs="Times New Roman"/>
                <w:sz w:val="24"/>
                <w:szCs w:val="24"/>
              </w:rPr>
              <w:t>Industriel</w:t>
            </w:r>
          </w:p>
          <w:p w:rsidR="002B01B3" w:rsidRDefault="002B01B3" w:rsidP="00DC7B27">
            <w:pPr>
              <w:pStyle w:val="Sansinterligne"/>
              <w:jc w:val="both"/>
              <w:rPr>
                <w:rFonts w:ascii="Times New Roman" w:hAnsi="Times New Roman" w:cs="Times New Roman"/>
                <w:sz w:val="24"/>
                <w:szCs w:val="24"/>
              </w:rPr>
            </w:pPr>
          </w:p>
          <w:p w:rsidR="002B01B3" w:rsidRPr="00EA590F" w:rsidRDefault="002B01B3" w:rsidP="00DC7B27">
            <w:pPr>
              <w:pStyle w:val="Sansinterligne"/>
              <w:jc w:val="both"/>
              <w:rPr>
                <w:rFonts w:ascii="Times New Roman" w:hAnsi="Times New Roman" w:cs="Times New Roman"/>
                <w:sz w:val="24"/>
                <w:szCs w:val="24"/>
              </w:rPr>
            </w:pPr>
          </w:p>
          <w:p w:rsidR="002B01B3" w:rsidRPr="00EA590F" w:rsidRDefault="002B01B3" w:rsidP="00DC7B27">
            <w:pPr>
              <w:pStyle w:val="Sansinterligne"/>
              <w:jc w:val="both"/>
              <w:rPr>
                <w:rFonts w:ascii="Times New Roman" w:hAnsi="Times New Roman" w:cs="Times New Roman"/>
                <w:sz w:val="24"/>
                <w:szCs w:val="24"/>
              </w:rPr>
            </w:pPr>
          </w:p>
        </w:tc>
        <w:tc>
          <w:tcPr>
            <w:tcW w:w="1417" w:type="dxa"/>
          </w:tcPr>
          <w:p w:rsidR="002B01B3" w:rsidRPr="00EA590F" w:rsidRDefault="002B01B3" w:rsidP="00DC7B27">
            <w:pPr>
              <w:pStyle w:val="Sansinterligne"/>
              <w:jc w:val="both"/>
              <w:rPr>
                <w:rFonts w:ascii="Times New Roman" w:hAnsi="Times New Roman" w:cs="Times New Roman"/>
                <w:sz w:val="24"/>
                <w:szCs w:val="24"/>
              </w:rPr>
            </w:pPr>
            <w:r w:rsidRPr="00EA590F">
              <w:rPr>
                <w:rFonts w:ascii="Times New Roman" w:hAnsi="Times New Roman" w:cs="Times New Roman"/>
                <w:sz w:val="24"/>
                <w:szCs w:val="24"/>
              </w:rPr>
              <w:t xml:space="preserve">Résurgence </w:t>
            </w:r>
          </w:p>
        </w:tc>
        <w:tc>
          <w:tcPr>
            <w:tcW w:w="2079" w:type="dxa"/>
            <w:tcBorders>
              <w:right w:val="nil"/>
            </w:tcBorders>
          </w:tcPr>
          <w:p w:rsidR="002B01B3" w:rsidRPr="00EA590F" w:rsidRDefault="00857E90" w:rsidP="00857E90">
            <w:pPr>
              <w:pStyle w:val="Sansinterligne"/>
              <w:jc w:val="both"/>
              <w:rPr>
                <w:rFonts w:ascii="Times New Roman" w:hAnsi="Times New Roman" w:cs="Times New Roman"/>
                <w:sz w:val="24"/>
                <w:szCs w:val="24"/>
              </w:rPr>
            </w:pPr>
            <w:r>
              <w:rPr>
                <w:rFonts w:ascii="Times New Roman" w:hAnsi="Times New Roman" w:cs="Times New Roman"/>
                <w:sz w:val="24"/>
                <w:szCs w:val="24"/>
              </w:rPr>
              <w:t>Mise en place de mesures pour préserver l’usage</w:t>
            </w:r>
          </w:p>
        </w:tc>
        <w:tc>
          <w:tcPr>
            <w:tcW w:w="2457" w:type="dxa"/>
          </w:tcPr>
          <w:p w:rsidR="002B01B3" w:rsidRPr="00DC7B27" w:rsidRDefault="002B01B3" w:rsidP="00DC7B27">
            <w:pPr>
              <w:pStyle w:val="Sansinterligne"/>
              <w:jc w:val="both"/>
              <w:rPr>
                <w:rFonts w:ascii="Times New Roman" w:hAnsi="Times New Roman" w:cs="Times New Roman"/>
                <w:b/>
                <w:sz w:val="24"/>
                <w:szCs w:val="24"/>
              </w:rPr>
            </w:pPr>
            <w:r w:rsidRPr="00DC7B27">
              <w:rPr>
                <w:rFonts w:ascii="Times New Roman" w:hAnsi="Times New Roman" w:cs="Times New Roman"/>
                <w:b/>
                <w:sz w:val="24"/>
                <w:szCs w:val="24"/>
              </w:rPr>
              <w:t>Locale</w:t>
            </w:r>
          </w:p>
        </w:tc>
      </w:tr>
      <w:tr w:rsidR="002B01B3" w:rsidRPr="0068666D" w:rsidTr="002B01B3">
        <w:tc>
          <w:tcPr>
            <w:tcW w:w="1384" w:type="dxa"/>
          </w:tcPr>
          <w:p w:rsidR="002B01B3" w:rsidRDefault="002B01B3" w:rsidP="00DC7B27">
            <w:pPr>
              <w:pStyle w:val="Sansinterligne"/>
              <w:jc w:val="both"/>
              <w:rPr>
                <w:rFonts w:ascii="Times New Roman" w:hAnsi="Times New Roman" w:cs="Times New Roman"/>
                <w:b/>
                <w:sz w:val="24"/>
                <w:szCs w:val="24"/>
              </w:rPr>
            </w:pPr>
            <w:r w:rsidRPr="00DC7B27">
              <w:rPr>
                <w:rFonts w:ascii="Times New Roman" w:hAnsi="Times New Roman" w:cs="Times New Roman"/>
                <w:b/>
                <w:sz w:val="24"/>
                <w:szCs w:val="24"/>
              </w:rPr>
              <w:t>Saint Martin</w:t>
            </w:r>
          </w:p>
          <w:p w:rsidR="002B01B3" w:rsidRDefault="002B01B3" w:rsidP="00DC7B27">
            <w:pPr>
              <w:pStyle w:val="Sansinterligne"/>
              <w:jc w:val="both"/>
              <w:rPr>
                <w:rFonts w:ascii="Times New Roman" w:hAnsi="Times New Roman" w:cs="Times New Roman"/>
                <w:b/>
                <w:sz w:val="24"/>
                <w:szCs w:val="24"/>
              </w:rPr>
            </w:pPr>
          </w:p>
          <w:p w:rsidR="002B01B3" w:rsidRPr="00DC7B27" w:rsidRDefault="002B01B3" w:rsidP="00DC7B27">
            <w:pPr>
              <w:pStyle w:val="Sansinterligne"/>
              <w:jc w:val="both"/>
              <w:rPr>
                <w:rFonts w:ascii="Times New Roman" w:hAnsi="Times New Roman" w:cs="Times New Roman"/>
                <w:b/>
                <w:sz w:val="24"/>
                <w:szCs w:val="24"/>
              </w:rPr>
            </w:pPr>
          </w:p>
        </w:tc>
        <w:tc>
          <w:tcPr>
            <w:tcW w:w="1985" w:type="dxa"/>
          </w:tcPr>
          <w:p w:rsidR="002B01B3" w:rsidRPr="00EA590F" w:rsidRDefault="002B01B3" w:rsidP="00DC7B27">
            <w:pPr>
              <w:pStyle w:val="Sansinterligne"/>
              <w:jc w:val="both"/>
              <w:rPr>
                <w:rFonts w:ascii="Times New Roman" w:hAnsi="Times New Roman" w:cs="Times New Roman"/>
                <w:sz w:val="24"/>
                <w:szCs w:val="24"/>
              </w:rPr>
            </w:pPr>
            <w:r w:rsidRPr="00EA590F">
              <w:rPr>
                <w:rFonts w:ascii="Times New Roman" w:hAnsi="Times New Roman" w:cs="Times New Roman"/>
                <w:sz w:val="24"/>
                <w:szCs w:val="24"/>
              </w:rPr>
              <w:t>Tourisme</w:t>
            </w:r>
          </w:p>
          <w:p w:rsidR="002B01B3" w:rsidRDefault="002B01B3" w:rsidP="00DC7B27">
            <w:pPr>
              <w:pStyle w:val="Sansinterligne"/>
              <w:jc w:val="both"/>
              <w:rPr>
                <w:rFonts w:ascii="Times New Roman" w:hAnsi="Times New Roman" w:cs="Times New Roman"/>
                <w:sz w:val="24"/>
                <w:szCs w:val="24"/>
              </w:rPr>
            </w:pPr>
          </w:p>
          <w:p w:rsidR="002B01B3" w:rsidRPr="00EA590F" w:rsidRDefault="002B01B3" w:rsidP="00DC7B27">
            <w:pPr>
              <w:pStyle w:val="Sansinterligne"/>
              <w:jc w:val="both"/>
              <w:rPr>
                <w:rFonts w:ascii="Times New Roman" w:hAnsi="Times New Roman" w:cs="Times New Roman"/>
                <w:sz w:val="24"/>
                <w:szCs w:val="24"/>
              </w:rPr>
            </w:pPr>
          </w:p>
        </w:tc>
        <w:tc>
          <w:tcPr>
            <w:tcW w:w="1417" w:type="dxa"/>
          </w:tcPr>
          <w:p w:rsidR="002B01B3" w:rsidRPr="00EA590F" w:rsidRDefault="00857E90" w:rsidP="00DC7B27">
            <w:pPr>
              <w:pStyle w:val="Sansinterligne"/>
              <w:jc w:val="both"/>
              <w:rPr>
                <w:rFonts w:ascii="Times New Roman" w:hAnsi="Times New Roman" w:cs="Times New Roman"/>
                <w:sz w:val="24"/>
                <w:szCs w:val="24"/>
              </w:rPr>
            </w:pPr>
            <w:r>
              <w:rPr>
                <w:rFonts w:ascii="Times New Roman" w:hAnsi="Times New Roman" w:cs="Times New Roman"/>
                <w:sz w:val="24"/>
                <w:szCs w:val="24"/>
              </w:rPr>
              <w:t>Résidus</w:t>
            </w:r>
          </w:p>
        </w:tc>
        <w:tc>
          <w:tcPr>
            <w:tcW w:w="2079" w:type="dxa"/>
          </w:tcPr>
          <w:p w:rsidR="002B01B3" w:rsidRPr="00EA590F" w:rsidRDefault="00857E90" w:rsidP="00DC7B27">
            <w:pPr>
              <w:pStyle w:val="Sansinterligne"/>
              <w:jc w:val="both"/>
              <w:rPr>
                <w:rFonts w:ascii="Times New Roman" w:hAnsi="Times New Roman" w:cs="Times New Roman"/>
                <w:sz w:val="24"/>
                <w:szCs w:val="24"/>
              </w:rPr>
            </w:pPr>
            <w:r>
              <w:rPr>
                <w:rFonts w:ascii="Times New Roman" w:hAnsi="Times New Roman" w:cs="Times New Roman"/>
                <w:sz w:val="24"/>
                <w:szCs w:val="24"/>
              </w:rPr>
              <w:t>Incompatibilité d’usage</w:t>
            </w:r>
          </w:p>
        </w:tc>
        <w:tc>
          <w:tcPr>
            <w:tcW w:w="2457" w:type="dxa"/>
          </w:tcPr>
          <w:p w:rsidR="002B01B3" w:rsidRPr="00DC7B27" w:rsidRDefault="002B01B3" w:rsidP="00DC7B27">
            <w:pPr>
              <w:pStyle w:val="Sansinterligne"/>
              <w:jc w:val="both"/>
              <w:rPr>
                <w:rFonts w:ascii="Times New Roman" w:hAnsi="Times New Roman" w:cs="Times New Roman"/>
                <w:b/>
                <w:sz w:val="24"/>
                <w:szCs w:val="24"/>
              </w:rPr>
            </w:pPr>
            <w:proofErr w:type="spellStart"/>
            <w:r w:rsidRPr="00DC7B27">
              <w:rPr>
                <w:rFonts w:ascii="Times New Roman" w:hAnsi="Times New Roman" w:cs="Times New Roman"/>
                <w:b/>
                <w:sz w:val="24"/>
                <w:szCs w:val="24"/>
              </w:rPr>
              <w:t>Juridiciarisation</w:t>
            </w:r>
            <w:proofErr w:type="spellEnd"/>
          </w:p>
        </w:tc>
      </w:tr>
    </w:tbl>
    <w:p w:rsidR="009A43C3" w:rsidRDefault="009A43C3" w:rsidP="00DC7B27">
      <w:pPr>
        <w:pStyle w:val="Sansinterligne"/>
        <w:jc w:val="both"/>
        <w:rPr>
          <w:rFonts w:ascii="Times New Roman" w:hAnsi="Times New Roman" w:cs="Times New Roman"/>
          <w:sz w:val="24"/>
          <w:szCs w:val="24"/>
        </w:rPr>
      </w:pPr>
    </w:p>
    <w:p w:rsidR="00601622" w:rsidRDefault="00857E90" w:rsidP="00DC7B27">
      <w:pPr>
        <w:pStyle w:val="Sansinterligne"/>
        <w:jc w:val="both"/>
        <w:rPr>
          <w:rFonts w:ascii="Times New Roman" w:hAnsi="Times New Roman" w:cs="Times New Roman"/>
          <w:b/>
          <w:sz w:val="24"/>
          <w:szCs w:val="24"/>
        </w:rPr>
      </w:pPr>
      <w:r w:rsidRPr="00857E90">
        <w:rPr>
          <w:rFonts w:ascii="Times New Roman" w:hAnsi="Times New Roman" w:cs="Times New Roman"/>
          <w:sz w:val="24"/>
          <w:szCs w:val="24"/>
        </w:rPr>
        <w:t>Alors même que la « société du risque » (Beck, 2003) est présentée comme une évolution globale du rapport entre des modes de production et la société, ces résultats mettent en perspective la granularité d</w:t>
      </w:r>
      <w:r>
        <w:rPr>
          <w:rFonts w:ascii="Times New Roman" w:hAnsi="Times New Roman" w:cs="Times New Roman"/>
          <w:sz w:val="24"/>
          <w:szCs w:val="24"/>
        </w:rPr>
        <w:t>ans la prise en compte d’imp</w:t>
      </w:r>
      <w:r w:rsidR="000D17D0">
        <w:rPr>
          <w:rFonts w:ascii="Times New Roman" w:hAnsi="Times New Roman" w:cs="Times New Roman"/>
          <w:sz w:val="24"/>
          <w:szCs w:val="24"/>
        </w:rPr>
        <w:t xml:space="preserve">acts environnementaux. C’est ainsi la dimension culturelle du risque environnemental (Douglas, 1992, Douglas et </w:t>
      </w:r>
      <w:proofErr w:type="spellStart"/>
      <w:r w:rsidR="000D17D0">
        <w:rPr>
          <w:rFonts w:ascii="Times New Roman" w:hAnsi="Times New Roman" w:cs="Times New Roman"/>
          <w:sz w:val="24"/>
          <w:szCs w:val="24"/>
        </w:rPr>
        <w:t>Wildaski</w:t>
      </w:r>
      <w:proofErr w:type="spellEnd"/>
      <w:r w:rsidR="000D17D0">
        <w:rPr>
          <w:rFonts w:ascii="Times New Roman" w:hAnsi="Times New Roman" w:cs="Times New Roman"/>
          <w:sz w:val="24"/>
          <w:szCs w:val="24"/>
        </w:rPr>
        <w:t xml:space="preserve">, 1984) associée aux notions de contamination, de souillure qui s’avère </w:t>
      </w:r>
      <w:proofErr w:type="gramStart"/>
      <w:r w:rsidR="000D17D0">
        <w:rPr>
          <w:rFonts w:ascii="Times New Roman" w:hAnsi="Times New Roman" w:cs="Times New Roman"/>
          <w:sz w:val="24"/>
          <w:szCs w:val="24"/>
        </w:rPr>
        <w:t>constituer</w:t>
      </w:r>
      <w:proofErr w:type="gramEnd"/>
      <w:r w:rsidR="000D17D0">
        <w:rPr>
          <w:rFonts w:ascii="Times New Roman" w:hAnsi="Times New Roman" w:cs="Times New Roman"/>
          <w:sz w:val="24"/>
          <w:szCs w:val="24"/>
        </w:rPr>
        <w:t xml:space="preserve"> le déterminant majeur d’évaluation. En l’occurrence, la gouvernance locale (Fortin 2009) et les compromis institués pour déterminer les usages d’un site sont des données d’entrée particulièrement importantes pour conduire des évaluations environnementales. Ce dernier constat invite à approfondir les modes de régulation en caractérisant les </w:t>
      </w:r>
      <w:r w:rsidR="0008255F">
        <w:rPr>
          <w:rFonts w:ascii="Times New Roman" w:hAnsi="Times New Roman" w:cs="Times New Roman"/>
          <w:sz w:val="24"/>
          <w:szCs w:val="24"/>
        </w:rPr>
        <w:t>formes de l’action collective locale et le rôle que jouent les commissions locales dans la gestion des territoires.</w:t>
      </w:r>
    </w:p>
    <w:p w:rsidR="00601622" w:rsidRDefault="00601622" w:rsidP="00DC7B27">
      <w:pPr>
        <w:pStyle w:val="Sansinterligne"/>
        <w:jc w:val="both"/>
        <w:rPr>
          <w:rFonts w:ascii="Times New Roman" w:hAnsi="Times New Roman" w:cs="Times New Roman"/>
          <w:b/>
          <w:sz w:val="24"/>
          <w:szCs w:val="24"/>
        </w:rPr>
      </w:pPr>
    </w:p>
    <w:p w:rsidR="00601622" w:rsidRDefault="00601622" w:rsidP="00DC7B27">
      <w:pPr>
        <w:pStyle w:val="Sansinterligne"/>
        <w:jc w:val="both"/>
        <w:rPr>
          <w:rFonts w:ascii="Times New Roman" w:hAnsi="Times New Roman" w:cs="Times New Roman"/>
          <w:b/>
          <w:sz w:val="24"/>
          <w:szCs w:val="24"/>
        </w:rPr>
      </w:pPr>
    </w:p>
    <w:p w:rsidR="00601622" w:rsidRDefault="00601622" w:rsidP="00DC7B27">
      <w:pPr>
        <w:pStyle w:val="Sansinterligne"/>
        <w:jc w:val="both"/>
        <w:rPr>
          <w:rFonts w:ascii="Times New Roman" w:hAnsi="Times New Roman" w:cs="Times New Roman"/>
          <w:b/>
          <w:sz w:val="24"/>
          <w:szCs w:val="24"/>
        </w:rPr>
      </w:pPr>
    </w:p>
    <w:p w:rsidR="00F73C51" w:rsidRDefault="00F73C51" w:rsidP="00DC7B27">
      <w:pPr>
        <w:pStyle w:val="Sansinterligne"/>
        <w:jc w:val="both"/>
        <w:rPr>
          <w:rFonts w:ascii="Times New Roman" w:hAnsi="Times New Roman" w:cs="Times New Roman"/>
          <w:b/>
          <w:sz w:val="24"/>
          <w:szCs w:val="24"/>
        </w:rPr>
      </w:pPr>
    </w:p>
    <w:p w:rsidR="00F73C51" w:rsidRDefault="00F73C51" w:rsidP="00DC7B27">
      <w:pPr>
        <w:pStyle w:val="Sansinterligne"/>
        <w:jc w:val="both"/>
        <w:rPr>
          <w:rFonts w:ascii="Times New Roman" w:hAnsi="Times New Roman" w:cs="Times New Roman"/>
          <w:b/>
          <w:sz w:val="24"/>
          <w:szCs w:val="24"/>
        </w:rPr>
      </w:pPr>
    </w:p>
    <w:p w:rsidR="00F73C51" w:rsidRDefault="00F73C51" w:rsidP="00DC7B27">
      <w:pPr>
        <w:pStyle w:val="Sansinterligne"/>
        <w:jc w:val="both"/>
        <w:rPr>
          <w:rFonts w:ascii="Times New Roman" w:hAnsi="Times New Roman" w:cs="Times New Roman"/>
          <w:b/>
          <w:sz w:val="24"/>
          <w:szCs w:val="24"/>
        </w:rPr>
      </w:pPr>
    </w:p>
    <w:p w:rsidR="00F73C51" w:rsidRDefault="00F73C51" w:rsidP="00DC7B27">
      <w:pPr>
        <w:pStyle w:val="Sansinterligne"/>
        <w:jc w:val="both"/>
        <w:rPr>
          <w:rFonts w:ascii="Times New Roman" w:hAnsi="Times New Roman" w:cs="Times New Roman"/>
          <w:b/>
          <w:sz w:val="24"/>
          <w:szCs w:val="24"/>
        </w:rPr>
      </w:pPr>
    </w:p>
    <w:p w:rsidR="00F73C51" w:rsidRDefault="00F73C51" w:rsidP="00DC7B27">
      <w:pPr>
        <w:pStyle w:val="Sansinterligne"/>
        <w:jc w:val="both"/>
        <w:rPr>
          <w:rFonts w:ascii="Times New Roman" w:hAnsi="Times New Roman" w:cs="Times New Roman"/>
          <w:b/>
          <w:sz w:val="24"/>
          <w:szCs w:val="24"/>
        </w:rPr>
      </w:pPr>
    </w:p>
    <w:p w:rsidR="00F73C51" w:rsidRDefault="00F73C51" w:rsidP="00DC7B27">
      <w:pPr>
        <w:pStyle w:val="Sansinterligne"/>
        <w:jc w:val="both"/>
        <w:rPr>
          <w:rFonts w:ascii="Times New Roman" w:hAnsi="Times New Roman" w:cs="Times New Roman"/>
          <w:b/>
          <w:sz w:val="24"/>
          <w:szCs w:val="24"/>
        </w:rPr>
      </w:pPr>
    </w:p>
    <w:p w:rsidR="00F73C51" w:rsidRDefault="00F73C51" w:rsidP="00DC7B27">
      <w:pPr>
        <w:pStyle w:val="Sansinterligne"/>
        <w:jc w:val="both"/>
        <w:rPr>
          <w:rFonts w:ascii="Times New Roman" w:hAnsi="Times New Roman" w:cs="Times New Roman"/>
          <w:b/>
          <w:sz w:val="24"/>
          <w:szCs w:val="24"/>
        </w:rPr>
      </w:pPr>
    </w:p>
    <w:p w:rsidR="00F73C51" w:rsidRDefault="00F73C51" w:rsidP="00DC7B27">
      <w:pPr>
        <w:pStyle w:val="Sansinterligne"/>
        <w:jc w:val="both"/>
        <w:rPr>
          <w:rFonts w:ascii="Times New Roman" w:hAnsi="Times New Roman" w:cs="Times New Roman"/>
          <w:b/>
          <w:sz w:val="24"/>
          <w:szCs w:val="24"/>
        </w:rPr>
      </w:pPr>
    </w:p>
    <w:p w:rsidR="00F73C51" w:rsidRDefault="00F73C51" w:rsidP="00DC7B27">
      <w:pPr>
        <w:pStyle w:val="Sansinterligne"/>
        <w:jc w:val="both"/>
        <w:rPr>
          <w:rFonts w:ascii="Times New Roman" w:hAnsi="Times New Roman" w:cs="Times New Roman"/>
          <w:b/>
          <w:sz w:val="24"/>
          <w:szCs w:val="24"/>
        </w:rPr>
      </w:pPr>
    </w:p>
    <w:p w:rsidR="00F73C51" w:rsidRDefault="00F73C51" w:rsidP="00DC7B27">
      <w:pPr>
        <w:pStyle w:val="Sansinterligne"/>
        <w:jc w:val="both"/>
        <w:rPr>
          <w:rFonts w:ascii="Times New Roman" w:hAnsi="Times New Roman" w:cs="Times New Roman"/>
          <w:b/>
          <w:sz w:val="24"/>
          <w:szCs w:val="24"/>
        </w:rPr>
      </w:pPr>
    </w:p>
    <w:p w:rsidR="00F73C51" w:rsidRDefault="00F73C51" w:rsidP="00DC7B27">
      <w:pPr>
        <w:pStyle w:val="Sansinterligne"/>
        <w:jc w:val="both"/>
        <w:rPr>
          <w:rFonts w:ascii="Times New Roman" w:hAnsi="Times New Roman" w:cs="Times New Roman"/>
          <w:b/>
          <w:sz w:val="24"/>
          <w:szCs w:val="24"/>
        </w:rPr>
      </w:pPr>
    </w:p>
    <w:p w:rsidR="00F73C51" w:rsidRDefault="00F73C51" w:rsidP="00DC7B27">
      <w:pPr>
        <w:pStyle w:val="Sansinterligne"/>
        <w:jc w:val="both"/>
        <w:rPr>
          <w:rFonts w:ascii="Times New Roman" w:hAnsi="Times New Roman" w:cs="Times New Roman"/>
          <w:b/>
          <w:sz w:val="24"/>
          <w:szCs w:val="24"/>
        </w:rPr>
      </w:pPr>
    </w:p>
    <w:p w:rsidR="00F73C51" w:rsidRDefault="00F73C51" w:rsidP="00DC7B27">
      <w:pPr>
        <w:pStyle w:val="Sansinterligne"/>
        <w:jc w:val="both"/>
        <w:rPr>
          <w:rFonts w:ascii="Times New Roman" w:hAnsi="Times New Roman" w:cs="Times New Roman"/>
          <w:b/>
          <w:sz w:val="24"/>
          <w:szCs w:val="24"/>
        </w:rPr>
      </w:pPr>
    </w:p>
    <w:p w:rsidR="00F73C51" w:rsidRDefault="00F73C51" w:rsidP="00DC7B27">
      <w:pPr>
        <w:pStyle w:val="Sansinterligne"/>
        <w:jc w:val="both"/>
        <w:rPr>
          <w:rFonts w:ascii="Times New Roman" w:hAnsi="Times New Roman" w:cs="Times New Roman"/>
          <w:b/>
          <w:sz w:val="24"/>
          <w:szCs w:val="24"/>
        </w:rPr>
      </w:pPr>
    </w:p>
    <w:p w:rsidR="00F73C51" w:rsidRDefault="00F73C51" w:rsidP="00DC7B27">
      <w:pPr>
        <w:pStyle w:val="Sansinterligne"/>
        <w:jc w:val="both"/>
        <w:rPr>
          <w:rFonts w:ascii="Times New Roman" w:hAnsi="Times New Roman" w:cs="Times New Roman"/>
          <w:b/>
          <w:sz w:val="24"/>
          <w:szCs w:val="24"/>
        </w:rPr>
      </w:pPr>
    </w:p>
    <w:p w:rsidR="00F73C51" w:rsidRDefault="00F73C51" w:rsidP="00DC7B27">
      <w:pPr>
        <w:pStyle w:val="Sansinterligne"/>
        <w:jc w:val="both"/>
        <w:rPr>
          <w:rFonts w:ascii="Times New Roman" w:hAnsi="Times New Roman" w:cs="Times New Roman"/>
          <w:b/>
          <w:sz w:val="24"/>
          <w:szCs w:val="24"/>
        </w:rPr>
      </w:pPr>
    </w:p>
    <w:p w:rsidR="00F73C51" w:rsidRDefault="00F73C51" w:rsidP="00DC7B27">
      <w:pPr>
        <w:pStyle w:val="Sansinterligne"/>
        <w:jc w:val="both"/>
        <w:rPr>
          <w:rFonts w:ascii="Times New Roman" w:hAnsi="Times New Roman" w:cs="Times New Roman"/>
          <w:b/>
          <w:sz w:val="24"/>
          <w:szCs w:val="24"/>
        </w:rPr>
      </w:pPr>
    </w:p>
    <w:p w:rsidR="00F73C51" w:rsidRDefault="00F73C51" w:rsidP="00DC7B27">
      <w:pPr>
        <w:pStyle w:val="Sansinterligne"/>
        <w:jc w:val="both"/>
        <w:rPr>
          <w:rFonts w:ascii="Times New Roman" w:hAnsi="Times New Roman" w:cs="Times New Roman"/>
          <w:b/>
          <w:sz w:val="24"/>
          <w:szCs w:val="24"/>
        </w:rPr>
      </w:pPr>
    </w:p>
    <w:p w:rsidR="00F73C51" w:rsidRDefault="00F73C51" w:rsidP="00DC7B27">
      <w:pPr>
        <w:pStyle w:val="Sansinterligne"/>
        <w:jc w:val="both"/>
        <w:rPr>
          <w:rFonts w:ascii="Times New Roman" w:hAnsi="Times New Roman" w:cs="Times New Roman"/>
          <w:b/>
          <w:sz w:val="24"/>
          <w:szCs w:val="24"/>
        </w:rPr>
      </w:pPr>
    </w:p>
    <w:p w:rsidR="00F73C51" w:rsidRDefault="00F73C51" w:rsidP="00DC7B27">
      <w:pPr>
        <w:pStyle w:val="Sansinterligne"/>
        <w:jc w:val="both"/>
        <w:rPr>
          <w:rFonts w:ascii="Times New Roman" w:hAnsi="Times New Roman" w:cs="Times New Roman"/>
          <w:b/>
          <w:sz w:val="24"/>
          <w:szCs w:val="24"/>
        </w:rPr>
      </w:pPr>
    </w:p>
    <w:p w:rsidR="00F33A58" w:rsidRDefault="00F33A58" w:rsidP="000D17D0">
      <w:pPr>
        <w:pStyle w:val="Sansinterligne"/>
        <w:jc w:val="center"/>
        <w:rPr>
          <w:rFonts w:ascii="Times New Roman" w:hAnsi="Times New Roman" w:cs="Times New Roman"/>
          <w:b/>
          <w:sz w:val="28"/>
          <w:szCs w:val="28"/>
        </w:rPr>
      </w:pPr>
      <w:r w:rsidRPr="00F73C51">
        <w:rPr>
          <w:rFonts w:ascii="Times New Roman" w:hAnsi="Times New Roman" w:cs="Times New Roman"/>
          <w:b/>
          <w:sz w:val="28"/>
          <w:szCs w:val="28"/>
        </w:rPr>
        <w:t>Bibliographie</w:t>
      </w:r>
    </w:p>
    <w:p w:rsidR="008F0039" w:rsidRPr="00F73C51" w:rsidRDefault="008F0039" w:rsidP="000D17D0">
      <w:pPr>
        <w:pStyle w:val="Sansinterligne"/>
        <w:jc w:val="center"/>
        <w:rPr>
          <w:rFonts w:ascii="Times New Roman" w:hAnsi="Times New Roman" w:cs="Times New Roman"/>
          <w:b/>
          <w:sz w:val="28"/>
          <w:szCs w:val="28"/>
        </w:rPr>
      </w:pPr>
    </w:p>
    <w:p w:rsidR="003540F2" w:rsidRDefault="003540F2" w:rsidP="00DC7B27">
      <w:pPr>
        <w:pStyle w:val="Sansinterligne"/>
        <w:jc w:val="both"/>
        <w:rPr>
          <w:rFonts w:ascii="Times New Roman" w:hAnsi="Times New Roman" w:cs="Times New Roman"/>
          <w:b/>
          <w:sz w:val="24"/>
          <w:szCs w:val="24"/>
        </w:rPr>
      </w:pPr>
    </w:p>
    <w:p w:rsidR="008F0039" w:rsidRDefault="008F0039" w:rsidP="00DC7B27">
      <w:pPr>
        <w:pStyle w:val="Sansinterligne"/>
        <w:jc w:val="both"/>
        <w:rPr>
          <w:rFonts w:ascii="Times New Roman" w:hAnsi="Times New Roman" w:cs="Times New Roman"/>
          <w:b/>
          <w:sz w:val="24"/>
          <w:szCs w:val="24"/>
        </w:rPr>
      </w:pPr>
    </w:p>
    <w:p w:rsidR="00445587" w:rsidRPr="00D02764" w:rsidRDefault="00445587" w:rsidP="00445587">
      <w:pPr>
        <w:pStyle w:val="Sansinterligne"/>
        <w:rPr>
          <w:rFonts w:ascii="Times New Roman" w:hAnsi="Times New Roman" w:cs="Times New Roman"/>
          <w:sz w:val="24"/>
          <w:szCs w:val="24"/>
        </w:rPr>
      </w:pPr>
      <w:r w:rsidRPr="00D02764">
        <w:rPr>
          <w:rFonts w:ascii="Times New Roman" w:hAnsi="Times New Roman" w:cs="Times New Roman"/>
          <w:sz w:val="24"/>
          <w:szCs w:val="24"/>
        </w:rPr>
        <w:t xml:space="preserve">BECK, U. (2003), </w:t>
      </w:r>
      <w:r w:rsidRPr="00D02764">
        <w:rPr>
          <w:rFonts w:ascii="Times New Roman" w:hAnsi="Times New Roman" w:cs="Times New Roman"/>
          <w:i/>
          <w:sz w:val="24"/>
          <w:szCs w:val="24"/>
        </w:rPr>
        <w:t>La société du risque : sur la voie d’une autre modernité</w:t>
      </w:r>
      <w:r w:rsidRPr="00D02764">
        <w:rPr>
          <w:rFonts w:ascii="Times New Roman" w:hAnsi="Times New Roman" w:cs="Times New Roman"/>
          <w:sz w:val="24"/>
          <w:szCs w:val="24"/>
        </w:rPr>
        <w:t>. Paris, Aubier.</w:t>
      </w:r>
    </w:p>
    <w:p w:rsidR="00445587" w:rsidRPr="00D02764" w:rsidRDefault="00445587" w:rsidP="00445587">
      <w:pPr>
        <w:pStyle w:val="Sansinterligne"/>
        <w:rPr>
          <w:rFonts w:ascii="Times New Roman" w:hAnsi="Times New Roman" w:cs="Times New Roman"/>
          <w:sz w:val="24"/>
          <w:szCs w:val="24"/>
        </w:rPr>
      </w:pPr>
    </w:p>
    <w:p w:rsidR="003540F2" w:rsidRPr="003540F2" w:rsidRDefault="003540F2" w:rsidP="00DC7B27">
      <w:pPr>
        <w:pStyle w:val="Sansinterligne"/>
        <w:jc w:val="both"/>
        <w:rPr>
          <w:rFonts w:ascii="Times New Roman" w:hAnsi="Times New Roman" w:cs="Times New Roman"/>
          <w:sz w:val="24"/>
          <w:szCs w:val="24"/>
        </w:rPr>
      </w:pPr>
      <w:r w:rsidRPr="003540F2">
        <w:rPr>
          <w:rFonts w:ascii="Times New Roman" w:hAnsi="Times New Roman" w:cs="Times New Roman"/>
          <w:sz w:val="24"/>
          <w:szCs w:val="24"/>
        </w:rPr>
        <w:t xml:space="preserve">BOUDIA, S. (2015), </w:t>
      </w:r>
      <w:r w:rsidR="00EA590F">
        <w:rPr>
          <w:rFonts w:ascii="Times New Roman" w:hAnsi="Times New Roman" w:cs="Times New Roman"/>
          <w:sz w:val="24"/>
          <w:szCs w:val="24"/>
        </w:rPr>
        <w:t>« Environnement et construction du global dans le tournant des années 1960-1970 », in  BOUDIA, S. et HENRY, E</w:t>
      </w:r>
      <w:r w:rsidR="00E969DB">
        <w:rPr>
          <w:rFonts w:ascii="Times New Roman" w:hAnsi="Times New Roman" w:cs="Times New Roman"/>
          <w:sz w:val="24"/>
          <w:szCs w:val="24"/>
        </w:rPr>
        <w:t>,</w:t>
      </w:r>
      <w:r w:rsidR="00EA590F">
        <w:rPr>
          <w:rFonts w:ascii="Times New Roman" w:hAnsi="Times New Roman" w:cs="Times New Roman"/>
          <w:sz w:val="24"/>
          <w:szCs w:val="24"/>
        </w:rPr>
        <w:t xml:space="preserve"> </w:t>
      </w:r>
      <w:r w:rsidR="00EA590F" w:rsidRPr="00EA590F">
        <w:rPr>
          <w:rFonts w:ascii="Times New Roman" w:hAnsi="Times New Roman" w:cs="Times New Roman"/>
          <w:i/>
          <w:sz w:val="24"/>
          <w:szCs w:val="24"/>
        </w:rPr>
        <w:t>La Mondialisation des risques</w:t>
      </w:r>
      <w:r w:rsidR="00EA590F">
        <w:rPr>
          <w:rFonts w:ascii="Times New Roman" w:hAnsi="Times New Roman" w:cs="Times New Roman"/>
          <w:sz w:val="24"/>
          <w:szCs w:val="24"/>
        </w:rPr>
        <w:t>, PUR.</w:t>
      </w:r>
    </w:p>
    <w:p w:rsidR="003540F2" w:rsidRDefault="003540F2" w:rsidP="003540F2">
      <w:pPr>
        <w:pStyle w:val="Sansinterligne"/>
        <w:rPr>
          <w:rFonts w:ascii="Times New Roman" w:hAnsi="Times New Roman" w:cs="Times New Roman"/>
          <w:sz w:val="24"/>
          <w:szCs w:val="24"/>
        </w:rPr>
      </w:pPr>
    </w:p>
    <w:p w:rsidR="003540F2" w:rsidRDefault="003540F2" w:rsidP="003540F2">
      <w:pPr>
        <w:pStyle w:val="Sansinterligne"/>
        <w:rPr>
          <w:rFonts w:ascii="Times New Roman" w:hAnsi="Times New Roman" w:cs="Times New Roman"/>
          <w:sz w:val="24"/>
          <w:szCs w:val="24"/>
        </w:rPr>
      </w:pPr>
      <w:r w:rsidRPr="00D02764">
        <w:rPr>
          <w:rFonts w:ascii="Times New Roman" w:hAnsi="Times New Roman" w:cs="Times New Roman"/>
          <w:sz w:val="24"/>
          <w:szCs w:val="24"/>
        </w:rPr>
        <w:t xml:space="preserve">BRUNET, P. (2004), </w:t>
      </w:r>
      <w:r w:rsidRPr="005850E0">
        <w:rPr>
          <w:rFonts w:ascii="Times New Roman" w:hAnsi="Times New Roman" w:cs="Times New Roman"/>
          <w:i/>
          <w:sz w:val="24"/>
          <w:szCs w:val="24"/>
        </w:rPr>
        <w:t>La nature dans tous ses états. Uranium, nucléaire et radioactivité en Limousin</w:t>
      </w:r>
      <w:r w:rsidRPr="00D02764">
        <w:rPr>
          <w:rFonts w:ascii="Times New Roman" w:hAnsi="Times New Roman" w:cs="Times New Roman"/>
          <w:sz w:val="24"/>
          <w:szCs w:val="24"/>
        </w:rPr>
        <w:t>, PULIM.</w:t>
      </w:r>
    </w:p>
    <w:p w:rsidR="00EA590F" w:rsidRDefault="00EA590F" w:rsidP="003540F2">
      <w:pPr>
        <w:pStyle w:val="Sansinterligne"/>
        <w:rPr>
          <w:rFonts w:ascii="Times New Roman" w:hAnsi="Times New Roman" w:cs="Times New Roman"/>
          <w:sz w:val="24"/>
          <w:szCs w:val="24"/>
        </w:rPr>
      </w:pPr>
    </w:p>
    <w:p w:rsidR="003D3481" w:rsidRPr="005850E0" w:rsidRDefault="003D3481" w:rsidP="003D3481">
      <w:pPr>
        <w:pStyle w:val="Sansinterligne"/>
        <w:jc w:val="both"/>
        <w:rPr>
          <w:rFonts w:ascii="Times New Roman" w:hAnsi="Times New Roman" w:cs="Times New Roman"/>
          <w:sz w:val="24"/>
          <w:szCs w:val="24"/>
          <w:lang w:val="en-US"/>
        </w:rPr>
      </w:pPr>
      <w:r w:rsidRPr="00D02764">
        <w:rPr>
          <w:rFonts w:ascii="Times New Roman" w:hAnsi="Times New Roman" w:cs="Times New Roman"/>
          <w:sz w:val="24"/>
          <w:szCs w:val="24"/>
        </w:rPr>
        <w:t xml:space="preserve">DAUPHINE, A et PROVITOLO, D. </w:t>
      </w:r>
      <w:r>
        <w:rPr>
          <w:rFonts w:ascii="Times New Roman" w:hAnsi="Times New Roman" w:cs="Times New Roman"/>
          <w:sz w:val="24"/>
          <w:szCs w:val="24"/>
        </w:rPr>
        <w:t>(</w:t>
      </w:r>
      <w:r w:rsidRPr="00D02764">
        <w:rPr>
          <w:rFonts w:ascii="Times New Roman" w:hAnsi="Times New Roman" w:cs="Times New Roman"/>
          <w:sz w:val="24"/>
          <w:szCs w:val="24"/>
        </w:rPr>
        <w:t>2013</w:t>
      </w:r>
      <w:r>
        <w:rPr>
          <w:rFonts w:ascii="Times New Roman" w:hAnsi="Times New Roman" w:cs="Times New Roman"/>
          <w:sz w:val="24"/>
          <w:szCs w:val="24"/>
        </w:rPr>
        <w:t>),</w:t>
      </w:r>
      <w:r w:rsidRPr="00D02764">
        <w:rPr>
          <w:rFonts w:ascii="Times New Roman" w:hAnsi="Times New Roman" w:cs="Times New Roman"/>
          <w:i/>
          <w:sz w:val="24"/>
          <w:szCs w:val="24"/>
        </w:rPr>
        <w:t xml:space="preserve"> Risques et catastrophes</w:t>
      </w:r>
      <w:r w:rsidRPr="00D02764">
        <w:rPr>
          <w:rFonts w:ascii="Times New Roman" w:hAnsi="Times New Roman" w:cs="Times New Roman"/>
          <w:sz w:val="24"/>
          <w:szCs w:val="24"/>
        </w:rPr>
        <w:t xml:space="preserve">. </w:t>
      </w:r>
      <w:r w:rsidRPr="005850E0">
        <w:rPr>
          <w:rFonts w:ascii="Times New Roman" w:hAnsi="Times New Roman" w:cs="Times New Roman"/>
          <w:sz w:val="24"/>
          <w:szCs w:val="24"/>
          <w:lang w:val="en-US"/>
        </w:rPr>
        <w:t>Armand Colin.</w:t>
      </w:r>
    </w:p>
    <w:p w:rsidR="003D3481" w:rsidRPr="00D02764" w:rsidRDefault="003D3481" w:rsidP="003D3481">
      <w:pPr>
        <w:pStyle w:val="Sansinterligne"/>
        <w:jc w:val="both"/>
        <w:rPr>
          <w:rFonts w:ascii="Times New Roman" w:hAnsi="Times New Roman" w:cs="Times New Roman"/>
          <w:sz w:val="24"/>
          <w:szCs w:val="24"/>
          <w:lang w:val="en-US"/>
        </w:rPr>
      </w:pPr>
      <w:r w:rsidRPr="00D02764">
        <w:rPr>
          <w:rFonts w:ascii="Times New Roman" w:hAnsi="Times New Roman" w:cs="Times New Roman"/>
          <w:sz w:val="24"/>
          <w:szCs w:val="24"/>
          <w:lang w:val="en-US"/>
        </w:rPr>
        <w:t xml:space="preserve"> </w:t>
      </w:r>
    </w:p>
    <w:p w:rsidR="00EA590F" w:rsidRPr="00D02764" w:rsidRDefault="00EA590F" w:rsidP="00EA590F">
      <w:pPr>
        <w:pStyle w:val="Sansinterligne"/>
        <w:jc w:val="both"/>
        <w:rPr>
          <w:rFonts w:ascii="Times New Roman" w:hAnsi="Times New Roman" w:cs="Times New Roman"/>
          <w:sz w:val="24"/>
          <w:szCs w:val="24"/>
          <w:lang w:val="en-US"/>
        </w:rPr>
      </w:pPr>
      <w:r w:rsidRPr="00D02764">
        <w:rPr>
          <w:rFonts w:ascii="Times New Roman" w:hAnsi="Times New Roman" w:cs="Times New Roman"/>
          <w:sz w:val="24"/>
          <w:szCs w:val="24"/>
          <w:lang w:val="en-US"/>
        </w:rPr>
        <w:t xml:space="preserve">DOUGLAS, M </w:t>
      </w:r>
      <w:proofErr w:type="gramStart"/>
      <w:r w:rsidRPr="00D02764">
        <w:rPr>
          <w:rFonts w:ascii="Times New Roman" w:hAnsi="Times New Roman" w:cs="Times New Roman"/>
          <w:sz w:val="24"/>
          <w:szCs w:val="24"/>
          <w:lang w:val="en-US"/>
        </w:rPr>
        <w:t>et</w:t>
      </w:r>
      <w:proofErr w:type="gramEnd"/>
      <w:r w:rsidRPr="00D02764">
        <w:rPr>
          <w:rFonts w:ascii="Times New Roman" w:hAnsi="Times New Roman" w:cs="Times New Roman"/>
          <w:sz w:val="24"/>
          <w:szCs w:val="24"/>
          <w:lang w:val="en-US"/>
        </w:rPr>
        <w:t xml:space="preserve"> WILDASKI, A, </w:t>
      </w:r>
      <w:r>
        <w:rPr>
          <w:rFonts w:ascii="Times New Roman" w:hAnsi="Times New Roman" w:cs="Times New Roman"/>
          <w:sz w:val="24"/>
          <w:szCs w:val="24"/>
          <w:lang w:val="en-US"/>
        </w:rPr>
        <w:t>(</w:t>
      </w:r>
      <w:r w:rsidRPr="00D02764">
        <w:rPr>
          <w:rFonts w:ascii="Times New Roman" w:hAnsi="Times New Roman" w:cs="Times New Roman"/>
          <w:sz w:val="24"/>
          <w:szCs w:val="24"/>
          <w:lang w:val="en-US"/>
        </w:rPr>
        <w:t>1984</w:t>
      </w:r>
      <w:r>
        <w:rPr>
          <w:rFonts w:ascii="Times New Roman" w:hAnsi="Times New Roman" w:cs="Times New Roman"/>
          <w:sz w:val="24"/>
          <w:szCs w:val="24"/>
          <w:lang w:val="en-US"/>
        </w:rPr>
        <w:t xml:space="preserve">), </w:t>
      </w:r>
      <w:r w:rsidRPr="00D02764">
        <w:rPr>
          <w:rFonts w:ascii="Times New Roman" w:hAnsi="Times New Roman" w:cs="Times New Roman"/>
          <w:i/>
          <w:sz w:val="24"/>
          <w:szCs w:val="24"/>
          <w:lang w:val="en-US"/>
        </w:rPr>
        <w:t>Risk and culture</w:t>
      </w:r>
      <w:r w:rsidRPr="00D02764">
        <w:rPr>
          <w:rFonts w:ascii="Times New Roman" w:hAnsi="Times New Roman" w:cs="Times New Roman"/>
          <w:sz w:val="24"/>
          <w:szCs w:val="24"/>
          <w:lang w:val="en-US"/>
        </w:rPr>
        <w:t xml:space="preserve">. </w:t>
      </w:r>
      <w:proofErr w:type="gramStart"/>
      <w:r w:rsidRPr="00D02764">
        <w:rPr>
          <w:rFonts w:ascii="Times New Roman" w:hAnsi="Times New Roman" w:cs="Times New Roman"/>
          <w:sz w:val="24"/>
          <w:szCs w:val="24"/>
          <w:lang w:val="en-US"/>
        </w:rPr>
        <w:t>University of California Press.</w:t>
      </w:r>
      <w:proofErr w:type="gramEnd"/>
      <w:r w:rsidRPr="00D02764">
        <w:rPr>
          <w:rFonts w:ascii="Times New Roman" w:hAnsi="Times New Roman" w:cs="Times New Roman"/>
          <w:sz w:val="24"/>
          <w:szCs w:val="24"/>
          <w:lang w:val="en-US"/>
        </w:rPr>
        <w:t xml:space="preserve"> </w:t>
      </w:r>
    </w:p>
    <w:p w:rsidR="00EA590F" w:rsidRPr="00D02764" w:rsidRDefault="00EA590F" w:rsidP="00EA590F">
      <w:pPr>
        <w:pStyle w:val="Sansinterligne"/>
        <w:jc w:val="both"/>
        <w:rPr>
          <w:rFonts w:ascii="Times New Roman" w:hAnsi="Times New Roman" w:cs="Times New Roman"/>
          <w:sz w:val="24"/>
          <w:szCs w:val="24"/>
          <w:lang w:val="en-US"/>
        </w:rPr>
      </w:pPr>
    </w:p>
    <w:p w:rsidR="003D3481" w:rsidRDefault="00EA590F" w:rsidP="00EA590F">
      <w:pPr>
        <w:pStyle w:val="Sansinterligne"/>
        <w:jc w:val="both"/>
        <w:rPr>
          <w:rFonts w:ascii="Times New Roman" w:hAnsi="Times New Roman" w:cs="Times New Roman"/>
          <w:sz w:val="24"/>
          <w:szCs w:val="24"/>
          <w:lang w:val="en-US"/>
        </w:rPr>
      </w:pPr>
      <w:r w:rsidRPr="00D02764">
        <w:rPr>
          <w:rFonts w:ascii="Times New Roman" w:hAnsi="Times New Roman" w:cs="Times New Roman"/>
          <w:sz w:val="24"/>
          <w:szCs w:val="24"/>
          <w:lang w:val="en-US"/>
        </w:rPr>
        <w:t>DOUGLAS, M</w:t>
      </w:r>
      <w:r w:rsidR="00E969DB">
        <w:rPr>
          <w:rFonts w:ascii="Times New Roman" w:hAnsi="Times New Roman" w:cs="Times New Roman"/>
          <w:sz w:val="24"/>
          <w:szCs w:val="24"/>
          <w:lang w:val="en-US"/>
        </w:rPr>
        <w:t>.</w:t>
      </w:r>
      <w:r w:rsidRPr="00D02764">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D02764">
        <w:rPr>
          <w:rFonts w:ascii="Times New Roman" w:hAnsi="Times New Roman" w:cs="Times New Roman"/>
          <w:sz w:val="24"/>
          <w:szCs w:val="24"/>
          <w:lang w:val="en-US"/>
        </w:rPr>
        <w:t>1992</w:t>
      </w:r>
      <w:r>
        <w:rPr>
          <w:rFonts w:ascii="Times New Roman" w:hAnsi="Times New Roman" w:cs="Times New Roman"/>
          <w:sz w:val="24"/>
          <w:szCs w:val="24"/>
          <w:lang w:val="en-US"/>
        </w:rPr>
        <w:t xml:space="preserve">), </w:t>
      </w:r>
      <w:r w:rsidRPr="00D02764">
        <w:rPr>
          <w:rFonts w:ascii="Times New Roman" w:hAnsi="Times New Roman" w:cs="Times New Roman"/>
          <w:i/>
          <w:sz w:val="24"/>
          <w:szCs w:val="24"/>
          <w:lang w:val="en-US"/>
        </w:rPr>
        <w:t>Risk and Blame, Essays in Cultural Theory</w:t>
      </w:r>
      <w:r w:rsidRPr="00D02764">
        <w:rPr>
          <w:rFonts w:ascii="Times New Roman" w:hAnsi="Times New Roman" w:cs="Times New Roman"/>
          <w:sz w:val="24"/>
          <w:szCs w:val="24"/>
          <w:lang w:val="en-US"/>
        </w:rPr>
        <w:t xml:space="preserve">, </w:t>
      </w:r>
      <w:proofErr w:type="spellStart"/>
      <w:r w:rsidRPr="00D02764">
        <w:rPr>
          <w:rFonts w:ascii="Times New Roman" w:hAnsi="Times New Roman" w:cs="Times New Roman"/>
          <w:sz w:val="24"/>
          <w:szCs w:val="24"/>
          <w:lang w:val="en-US"/>
        </w:rPr>
        <w:t>Londres</w:t>
      </w:r>
      <w:proofErr w:type="spellEnd"/>
      <w:r w:rsidRPr="00D02764">
        <w:rPr>
          <w:rFonts w:ascii="Times New Roman" w:hAnsi="Times New Roman" w:cs="Times New Roman"/>
          <w:sz w:val="24"/>
          <w:szCs w:val="24"/>
          <w:lang w:val="en-US"/>
        </w:rPr>
        <w:t xml:space="preserve">, </w:t>
      </w:r>
      <w:proofErr w:type="spellStart"/>
      <w:r w:rsidRPr="00D02764">
        <w:rPr>
          <w:rFonts w:ascii="Times New Roman" w:hAnsi="Times New Roman" w:cs="Times New Roman"/>
          <w:sz w:val="24"/>
          <w:szCs w:val="24"/>
          <w:lang w:val="en-US"/>
        </w:rPr>
        <w:t>Routledge</w:t>
      </w:r>
      <w:proofErr w:type="spellEnd"/>
      <w:r w:rsidRPr="00D02764">
        <w:rPr>
          <w:rFonts w:ascii="Times New Roman" w:hAnsi="Times New Roman" w:cs="Times New Roman"/>
          <w:sz w:val="24"/>
          <w:szCs w:val="24"/>
          <w:lang w:val="en-US"/>
        </w:rPr>
        <w:t>.</w:t>
      </w:r>
    </w:p>
    <w:p w:rsidR="003544ED" w:rsidRPr="00DF3C20" w:rsidRDefault="003544ED" w:rsidP="003540F2">
      <w:pPr>
        <w:pStyle w:val="Sansinterligne"/>
        <w:rPr>
          <w:rFonts w:ascii="Times New Roman" w:hAnsi="Times New Roman" w:cs="Times New Roman"/>
          <w:smallCaps/>
          <w:color w:val="000000"/>
          <w:sz w:val="24"/>
          <w:szCs w:val="24"/>
          <w:shd w:val="clear" w:color="auto" w:fill="FFFFFF"/>
          <w:lang w:val="en-US"/>
        </w:rPr>
      </w:pPr>
    </w:p>
    <w:p w:rsidR="003540F2" w:rsidRPr="003544ED" w:rsidRDefault="003544ED" w:rsidP="003540F2">
      <w:pPr>
        <w:pStyle w:val="Sansinterligne"/>
        <w:rPr>
          <w:rFonts w:ascii="Times New Roman" w:hAnsi="Times New Roman" w:cs="Times New Roman"/>
          <w:sz w:val="24"/>
          <w:szCs w:val="24"/>
        </w:rPr>
      </w:pPr>
      <w:r w:rsidRPr="003544ED">
        <w:rPr>
          <w:rFonts w:ascii="Times New Roman" w:hAnsi="Times New Roman" w:cs="Times New Roman"/>
          <w:smallCaps/>
          <w:color w:val="000000"/>
          <w:sz w:val="24"/>
          <w:szCs w:val="24"/>
          <w:shd w:val="clear" w:color="auto" w:fill="FFFFFF"/>
        </w:rPr>
        <w:t>E</w:t>
      </w:r>
      <w:r>
        <w:rPr>
          <w:rFonts w:ascii="Times New Roman" w:hAnsi="Times New Roman" w:cs="Times New Roman"/>
          <w:smallCaps/>
          <w:color w:val="000000"/>
          <w:sz w:val="24"/>
          <w:szCs w:val="24"/>
          <w:shd w:val="clear" w:color="auto" w:fill="FFFFFF"/>
        </w:rPr>
        <w:t>LIAS,</w:t>
      </w:r>
      <w:r w:rsidRPr="003544ED">
        <w:rPr>
          <w:rStyle w:val="apple-converted-space"/>
          <w:rFonts w:ascii="Times New Roman" w:hAnsi="Times New Roman" w:cs="Times New Roman"/>
          <w:color w:val="000000"/>
          <w:sz w:val="24"/>
          <w:szCs w:val="24"/>
          <w:shd w:val="clear" w:color="auto" w:fill="FFFFFF"/>
        </w:rPr>
        <w:t> </w:t>
      </w:r>
      <w:r w:rsidRPr="003544ED">
        <w:rPr>
          <w:rFonts w:ascii="Times New Roman" w:hAnsi="Times New Roman" w:cs="Times New Roman"/>
          <w:color w:val="000000"/>
          <w:sz w:val="24"/>
          <w:szCs w:val="24"/>
          <w:shd w:val="clear" w:color="auto" w:fill="FFFFFF"/>
        </w:rPr>
        <w:t>N. (1985),</w:t>
      </w:r>
      <w:r w:rsidRPr="003544ED">
        <w:rPr>
          <w:rStyle w:val="apple-converted-space"/>
          <w:rFonts w:ascii="Times New Roman" w:hAnsi="Times New Roman" w:cs="Times New Roman"/>
          <w:color w:val="000000"/>
          <w:sz w:val="24"/>
          <w:szCs w:val="24"/>
          <w:shd w:val="clear" w:color="auto" w:fill="FFFFFF"/>
        </w:rPr>
        <w:t> </w:t>
      </w:r>
      <w:r w:rsidRPr="003544ED">
        <w:rPr>
          <w:rStyle w:val="Accentuation"/>
          <w:rFonts w:ascii="Times New Roman" w:hAnsi="Times New Roman" w:cs="Times New Roman"/>
          <w:color w:val="000000"/>
          <w:sz w:val="24"/>
          <w:szCs w:val="24"/>
          <w:shd w:val="clear" w:color="auto" w:fill="FFFFFF"/>
        </w:rPr>
        <w:t>La Société de cour</w:t>
      </w:r>
      <w:r w:rsidRPr="003544ED">
        <w:rPr>
          <w:rFonts w:ascii="Times New Roman" w:hAnsi="Times New Roman" w:cs="Times New Roman"/>
          <w:color w:val="000000"/>
          <w:sz w:val="24"/>
          <w:szCs w:val="24"/>
          <w:shd w:val="clear" w:color="auto" w:fill="FFFFFF"/>
        </w:rPr>
        <w:t xml:space="preserve">, traduit de l’allemand par Pierre </w:t>
      </w:r>
      <w:proofErr w:type="spellStart"/>
      <w:r w:rsidRPr="003544ED">
        <w:rPr>
          <w:rFonts w:ascii="Times New Roman" w:hAnsi="Times New Roman" w:cs="Times New Roman"/>
          <w:color w:val="000000"/>
          <w:sz w:val="24"/>
          <w:szCs w:val="24"/>
          <w:shd w:val="clear" w:color="auto" w:fill="FFFFFF"/>
        </w:rPr>
        <w:t>Kamnitzer</w:t>
      </w:r>
      <w:proofErr w:type="spellEnd"/>
      <w:r w:rsidRPr="003544ED">
        <w:rPr>
          <w:rFonts w:ascii="Times New Roman" w:hAnsi="Times New Roman" w:cs="Times New Roman"/>
          <w:color w:val="000000"/>
          <w:sz w:val="24"/>
          <w:szCs w:val="24"/>
          <w:shd w:val="clear" w:color="auto" w:fill="FFFFFF"/>
        </w:rPr>
        <w:t xml:space="preserve"> et Jeanne </w:t>
      </w:r>
      <w:proofErr w:type="spellStart"/>
      <w:r w:rsidRPr="003544ED">
        <w:rPr>
          <w:rFonts w:ascii="Times New Roman" w:hAnsi="Times New Roman" w:cs="Times New Roman"/>
          <w:color w:val="000000"/>
          <w:sz w:val="24"/>
          <w:szCs w:val="24"/>
          <w:shd w:val="clear" w:color="auto" w:fill="FFFFFF"/>
        </w:rPr>
        <w:t>Étoré</w:t>
      </w:r>
      <w:proofErr w:type="spellEnd"/>
      <w:r w:rsidRPr="003544ED">
        <w:rPr>
          <w:rFonts w:ascii="Times New Roman" w:hAnsi="Times New Roman" w:cs="Times New Roman"/>
          <w:color w:val="000000"/>
          <w:sz w:val="24"/>
          <w:szCs w:val="24"/>
          <w:shd w:val="clear" w:color="auto" w:fill="FFFFFF"/>
        </w:rPr>
        <w:t>, Paris, Éditions Flammarion.</w:t>
      </w:r>
    </w:p>
    <w:p w:rsidR="003544ED" w:rsidRPr="003544ED" w:rsidRDefault="003544ED" w:rsidP="003540F2">
      <w:pPr>
        <w:pStyle w:val="Sansinterligne"/>
        <w:rPr>
          <w:rFonts w:ascii="Times New Roman" w:hAnsi="Times New Roman" w:cs="Times New Roman"/>
          <w:sz w:val="24"/>
          <w:szCs w:val="24"/>
        </w:rPr>
      </w:pPr>
    </w:p>
    <w:p w:rsidR="00601622" w:rsidRDefault="003D3481" w:rsidP="00601622">
      <w:pPr>
        <w:pStyle w:val="NormalWeb"/>
        <w:shd w:val="clear" w:color="auto" w:fill="FFFFFF"/>
        <w:spacing w:before="0" w:beforeAutospacing="0" w:after="0" w:afterAutospacing="0"/>
        <w:rPr>
          <w:rStyle w:val="Lienhypertexte"/>
          <w:rFonts w:ascii="Verdana" w:hAnsi="Verdana"/>
          <w:b/>
          <w:bCs/>
          <w:color w:val="666666"/>
          <w:sz w:val="22"/>
          <w:szCs w:val="22"/>
        </w:rPr>
      </w:pPr>
      <w:r w:rsidRPr="00601622">
        <w:t>FOURNIS</w:t>
      </w:r>
      <w:r w:rsidR="00601622">
        <w:t>, Y</w:t>
      </w:r>
      <w:r w:rsidRPr="00601622">
        <w:t xml:space="preserve"> et FORTIN</w:t>
      </w:r>
      <w:r w:rsidR="00601622">
        <w:t>, M.J. (2015), « Les régimes de ressources au Canada : les trois crises de l’</w:t>
      </w:r>
      <w:proofErr w:type="spellStart"/>
      <w:r w:rsidR="00601622">
        <w:t>extractivisme</w:t>
      </w:r>
      <w:proofErr w:type="spellEnd"/>
      <w:r w:rsidR="00601622">
        <w:t xml:space="preserve"> », </w:t>
      </w:r>
      <w:r w:rsidR="00601622" w:rsidRPr="00601622">
        <w:rPr>
          <w:i/>
        </w:rPr>
        <w:t>Vertigo</w:t>
      </w:r>
      <w:r w:rsidR="00601622">
        <w:rPr>
          <w:i/>
        </w:rPr>
        <w:t>-la revue électronique en sciences de l’environnement</w:t>
      </w:r>
      <w:r w:rsidR="00601622">
        <w:t>, volume 15, n°2</w:t>
      </w:r>
      <w:r w:rsidR="00601622" w:rsidRPr="00601622">
        <w:rPr>
          <w:rStyle w:val="Lienhypertexte"/>
          <w:rFonts w:ascii="Verdana" w:hAnsi="Verdana"/>
          <w:b/>
          <w:bCs/>
          <w:color w:val="666666"/>
          <w:sz w:val="22"/>
          <w:szCs w:val="22"/>
        </w:rPr>
        <w:t xml:space="preserve"> </w:t>
      </w:r>
    </w:p>
    <w:p w:rsidR="00601622" w:rsidRDefault="00601622" w:rsidP="00601622">
      <w:pPr>
        <w:pStyle w:val="NormalWeb"/>
        <w:shd w:val="clear" w:color="auto" w:fill="FFFFFF"/>
        <w:spacing w:before="0" w:beforeAutospacing="0" w:after="0" w:afterAutospacing="0"/>
        <w:rPr>
          <w:rStyle w:val="Lienhypertexte"/>
          <w:rFonts w:ascii="Verdana" w:hAnsi="Verdana"/>
          <w:b/>
          <w:bCs/>
          <w:color w:val="666666"/>
          <w:sz w:val="22"/>
          <w:szCs w:val="22"/>
        </w:rPr>
      </w:pPr>
    </w:p>
    <w:p w:rsidR="001C17E7" w:rsidRPr="001C17E7" w:rsidRDefault="001C17E7" w:rsidP="00601622">
      <w:pPr>
        <w:pStyle w:val="NormalWeb"/>
        <w:shd w:val="clear" w:color="auto" w:fill="FFFFFF"/>
        <w:spacing w:before="0" w:beforeAutospacing="0" w:after="0" w:afterAutospacing="0"/>
        <w:rPr>
          <w:rStyle w:val="Lienhypertexte"/>
          <w:bCs/>
          <w:color w:val="auto"/>
          <w:u w:val="none"/>
        </w:rPr>
      </w:pPr>
      <w:r w:rsidRPr="001C17E7">
        <w:rPr>
          <w:rStyle w:val="Lienhypertexte"/>
          <w:bCs/>
          <w:color w:val="auto"/>
          <w:u w:val="none"/>
        </w:rPr>
        <w:t>FORTIN, M</w:t>
      </w:r>
      <w:r>
        <w:rPr>
          <w:rStyle w:val="Lienhypertexte"/>
          <w:bCs/>
          <w:color w:val="auto"/>
          <w:u w:val="none"/>
        </w:rPr>
        <w:t>-</w:t>
      </w:r>
      <w:r w:rsidRPr="001C17E7">
        <w:rPr>
          <w:rStyle w:val="Lienhypertexte"/>
          <w:bCs/>
          <w:color w:val="auto"/>
          <w:u w:val="none"/>
        </w:rPr>
        <w:t>J</w:t>
      </w:r>
      <w:r>
        <w:rPr>
          <w:rStyle w:val="Lienhypertexte"/>
          <w:bCs/>
          <w:color w:val="auto"/>
          <w:u w:val="none"/>
        </w:rPr>
        <w:t xml:space="preserve">. (2009), « L’évaluation environnementale de grands projets industriels : potentialités et limites pour la gouvernance territoriale », </w:t>
      </w:r>
      <w:r w:rsidRPr="001C17E7">
        <w:rPr>
          <w:rStyle w:val="Lienhypertexte"/>
          <w:bCs/>
          <w:i/>
          <w:color w:val="auto"/>
          <w:u w:val="none"/>
        </w:rPr>
        <w:t>Vertigo-la revue électronique en science de l’environnement</w:t>
      </w:r>
      <w:r>
        <w:rPr>
          <w:rStyle w:val="Lienhypertexte"/>
          <w:bCs/>
          <w:color w:val="auto"/>
          <w:u w:val="none"/>
        </w:rPr>
        <w:t xml:space="preserve">, volume 9, n°1. </w:t>
      </w:r>
    </w:p>
    <w:p w:rsidR="001C17E7" w:rsidRDefault="001C17E7" w:rsidP="003540F2">
      <w:pPr>
        <w:pStyle w:val="Sansinterligne"/>
        <w:jc w:val="both"/>
        <w:rPr>
          <w:rFonts w:ascii="Times New Roman" w:hAnsi="Times New Roman" w:cs="Times New Roman"/>
          <w:sz w:val="24"/>
          <w:szCs w:val="24"/>
        </w:rPr>
      </w:pPr>
    </w:p>
    <w:p w:rsidR="003D3481" w:rsidRPr="00E969DB" w:rsidRDefault="003D3481" w:rsidP="003540F2">
      <w:pPr>
        <w:pStyle w:val="Sansinterligne"/>
        <w:jc w:val="both"/>
        <w:rPr>
          <w:rFonts w:ascii="Times New Roman" w:hAnsi="Times New Roman" w:cs="Times New Roman"/>
          <w:sz w:val="24"/>
          <w:szCs w:val="24"/>
        </w:rPr>
      </w:pPr>
      <w:r w:rsidRPr="00E969DB">
        <w:rPr>
          <w:rFonts w:ascii="Times New Roman" w:hAnsi="Times New Roman" w:cs="Times New Roman"/>
          <w:sz w:val="24"/>
          <w:szCs w:val="24"/>
        </w:rPr>
        <w:t>FRESSOZ</w:t>
      </w:r>
      <w:r w:rsidR="00E969DB" w:rsidRPr="00E969DB">
        <w:rPr>
          <w:rFonts w:ascii="Times New Roman" w:hAnsi="Times New Roman" w:cs="Times New Roman"/>
          <w:sz w:val="24"/>
          <w:szCs w:val="24"/>
        </w:rPr>
        <w:t>, J.B e</w:t>
      </w:r>
      <w:r w:rsidR="00E969DB">
        <w:rPr>
          <w:rFonts w:ascii="Times New Roman" w:hAnsi="Times New Roman" w:cs="Times New Roman"/>
          <w:sz w:val="24"/>
          <w:szCs w:val="24"/>
        </w:rPr>
        <w:t>t BONNEUIL, C. (2013</w:t>
      </w:r>
      <w:r w:rsidR="00E969DB" w:rsidRPr="00E969DB">
        <w:rPr>
          <w:rFonts w:ascii="Times New Roman" w:hAnsi="Times New Roman" w:cs="Times New Roman"/>
          <w:i/>
          <w:sz w:val="24"/>
          <w:szCs w:val="24"/>
        </w:rPr>
        <w:t xml:space="preserve">), L’événement </w:t>
      </w:r>
      <w:proofErr w:type="spellStart"/>
      <w:r w:rsidR="00E969DB" w:rsidRPr="00E969DB">
        <w:rPr>
          <w:rFonts w:ascii="Times New Roman" w:hAnsi="Times New Roman" w:cs="Times New Roman"/>
          <w:i/>
          <w:sz w:val="24"/>
          <w:szCs w:val="24"/>
        </w:rPr>
        <w:t>anthropocène</w:t>
      </w:r>
      <w:proofErr w:type="spellEnd"/>
      <w:r w:rsidR="00E969DB">
        <w:rPr>
          <w:rFonts w:ascii="Times New Roman" w:hAnsi="Times New Roman" w:cs="Times New Roman"/>
          <w:sz w:val="24"/>
          <w:szCs w:val="24"/>
        </w:rPr>
        <w:t xml:space="preserve">, </w:t>
      </w:r>
      <w:proofErr w:type="spellStart"/>
      <w:r w:rsidR="00E969DB">
        <w:rPr>
          <w:rFonts w:ascii="Times New Roman" w:hAnsi="Times New Roman" w:cs="Times New Roman"/>
          <w:sz w:val="24"/>
          <w:szCs w:val="24"/>
        </w:rPr>
        <w:t>Anthropocène</w:t>
      </w:r>
      <w:proofErr w:type="spellEnd"/>
      <w:r w:rsidR="00E969DB">
        <w:rPr>
          <w:rFonts w:ascii="Times New Roman" w:hAnsi="Times New Roman" w:cs="Times New Roman"/>
          <w:sz w:val="24"/>
          <w:szCs w:val="24"/>
        </w:rPr>
        <w:t xml:space="preserve"> Seuil Editions.  </w:t>
      </w:r>
    </w:p>
    <w:p w:rsidR="00E969DB" w:rsidRDefault="00E969DB" w:rsidP="003540F2">
      <w:pPr>
        <w:pStyle w:val="Sansinterligne"/>
        <w:jc w:val="both"/>
        <w:rPr>
          <w:rFonts w:ascii="Times New Roman" w:hAnsi="Times New Roman" w:cs="Times New Roman"/>
          <w:sz w:val="24"/>
          <w:szCs w:val="24"/>
        </w:rPr>
      </w:pPr>
    </w:p>
    <w:p w:rsidR="00E969DB" w:rsidRPr="00601622" w:rsidRDefault="00E969DB" w:rsidP="003540F2">
      <w:pPr>
        <w:pStyle w:val="Sansinterligne"/>
        <w:jc w:val="both"/>
        <w:rPr>
          <w:rFonts w:ascii="Times New Roman" w:hAnsi="Times New Roman" w:cs="Times New Roman"/>
          <w:sz w:val="24"/>
          <w:szCs w:val="24"/>
        </w:rPr>
      </w:pPr>
      <w:r w:rsidRPr="00601622">
        <w:rPr>
          <w:rFonts w:ascii="Times New Roman" w:hAnsi="Times New Roman" w:cs="Times New Roman"/>
          <w:sz w:val="24"/>
          <w:szCs w:val="24"/>
        </w:rPr>
        <w:t>FRESSOZ, C. (2012)</w:t>
      </w:r>
      <w:r w:rsidRPr="00601622">
        <w:rPr>
          <w:rFonts w:ascii="Times New Roman" w:hAnsi="Times New Roman" w:cs="Times New Roman"/>
          <w:i/>
          <w:sz w:val="24"/>
          <w:szCs w:val="24"/>
        </w:rPr>
        <w:t>, L’apocalypse joyeuse</w:t>
      </w:r>
      <w:r w:rsidR="00601622" w:rsidRPr="00601622">
        <w:rPr>
          <w:rFonts w:ascii="Times New Roman" w:hAnsi="Times New Roman" w:cs="Times New Roman"/>
          <w:i/>
          <w:sz w:val="24"/>
          <w:szCs w:val="24"/>
        </w:rPr>
        <w:t>. Une histoire du risque technologique</w:t>
      </w:r>
      <w:r w:rsidRPr="00601622">
        <w:rPr>
          <w:rFonts w:ascii="Times New Roman" w:hAnsi="Times New Roman" w:cs="Times New Roman"/>
          <w:sz w:val="24"/>
          <w:szCs w:val="24"/>
        </w:rPr>
        <w:t> »,</w:t>
      </w:r>
      <w:r w:rsidR="00601622" w:rsidRPr="00601622">
        <w:rPr>
          <w:rFonts w:ascii="Times New Roman" w:hAnsi="Times New Roman" w:cs="Times New Roman"/>
          <w:sz w:val="24"/>
          <w:szCs w:val="24"/>
        </w:rPr>
        <w:t xml:space="preserve"> Seuil.</w:t>
      </w:r>
      <w:r w:rsidRPr="00601622">
        <w:rPr>
          <w:rFonts w:ascii="Times New Roman" w:hAnsi="Times New Roman" w:cs="Times New Roman"/>
          <w:sz w:val="24"/>
          <w:szCs w:val="24"/>
        </w:rPr>
        <w:t xml:space="preserve">  </w:t>
      </w:r>
    </w:p>
    <w:p w:rsidR="003D3481" w:rsidRPr="00601622" w:rsidRDefault="003D3481" w:rsidP="003540F2">
      <w:pPr>
        <w:pStyle w:val="Sansinterligne"/>
        <w:jc w:val="both"/>
        <w:rPr>
          <w:rFonts w:ascii="Times New Roman" w:hAnsi="Times New Roman" w:cs="Times New Roman"/>
          <w:sz w:val="24"/>
          <w:szCs w:val="24"/>
        </w:rPr>
      </w:pPr>
    </w:p>
    <w:p w:rsidR="003540F2" w:rsidRPr="003540F2" w:rsidRDefault="003540F2" w:rsidP="003540F2">
      <w:pPr>
        <w:pStyle w:val="Sansinterligne"/>
        <w:jc w:val="both"/>
        <w:rPr>
          <w:rFonts w:ascii="Times New Roman" w:hAnsi="Times New Roman" w:cs="Times New Roman"/>
          <w:sz w:val="24"/>
          <w:szCs w:val="24"/>
          <w:lang w:val="en-US"/>
        </w:rPr>
      </w:pPr>
      <w:r w:rsidRPr="003540F2">
        <w:rPr>
          <w:rFonts w:ascii="Times New Roman" w:hAnsi="Times New Roman" w:cs="Times New Roman"/>
          <w:sz w:val="24"/>
          <w:szCs w:val="24"/>
          <w:lang w:val="en-US"/>
        </w:rPr>
        <w:t>HECHT, G. (201</w:t>
      </w:r>
      <w:r w:rsidR="00E969DB">
        <w:rPr>
          <w:rFonts w:ascii="Times New Roman" w:hAnsi="Times New Roman" w:cs="Times New Roman"/>
          <w:sz w:val="24"/>
          <w:szCs w:val="24"/>
          <w:lang w:val="en-US"/>
        </w:rPr>
        <w:t>6</w:t>
      </w:r>
      <w:r w:rsidRPr="003540F2">
        <w:rPr>
          <w:rFonts w:ascii="Times New Roman" w:hAnsi="Times New Roman" w:cs="Times New Roman"/>
          <w:sz w:val="24"/>
          <w:szCs w:val="24"/>
          <w:lang w:val="en-US"/>
        </w:rPr>
        <w:t xml:space="preserve">), </w:t>
      </w:r>
      <w:r w:rsidRPr="003540F2">
        <w:rPr>
          <w:rFonts w:ascii="Times New Roman" w:hAnsi="Times New Roman" w:cs="Times New Roman"/>
          <w:i/>
          <w:sz w:val="24"/>
          <w:szCs w:val="24"/>
          <w:lang w:val="en-US"/>
        </w:rPr>
        <w:t>Being nuclear</w:t>
      </w:r>
      <w:r w:rsidRPr="003540F2">
        <w:rPr>
          <w:rFonts w:ascii="Times New Roman" w:hAnsi="Times New Roman" w:cs="Times New Roman"/>
          <w:sz w:val="24"/>
          <w:szCs w:val="24"/>
          <w:lang w:val="en-US"/>
        </w:rPr>
        <w:t>, MIT Press.</w:t>
      </w:r>
    </w:p>
    <w:p w:rsidR="00F33A58" w:rsidRDefault="00F33A58" w:rsidP="00DC7B27">
      <w:pPr>
        <w:pStyle w:val="Sansinterligne"/>
        <w:jc w:val="both"/>
        <w:rPr>
          <w:rFonts w:ascii="Times New Roman" w:hAnsi="Times New Roman" w:cs="Times New Roman"/>
          <w:sz w:val="24"/>
          <w:szCs w:val="24"/>
          <w:lang w:val="en-US"/>
        </w:rPr>
      </w:pPr>
    </w:p>
    <w:p w:rsidR="0008255F" w:rsidRDefault="0008255F" w:rsidP="00DC7B27">
      <w:pPr>
        <w:pStyle w:val="Sansinterligne"/>
        <w:jc w:val="both"/>
        <w:rPr>
          <w:rFonts w:ascii="Times New Roman" w:hAnsi="Times New Roman" w:cs="Times New Roman"/>
          <w:sz w:val="24"/>
          <w:szCs w:val="24"/>
        </w:rPr>
      </w:pPr>
      <w:r w:rsidRPr="0008255F">
        <w:rPr>
          <w:rFonts w:ascii="Times New Roman" w:hAnsi="Times New Roman" w:cs="Times New Roman"/>
          <w:sz w:val="24"/>
          <w:szCs w:val="24"/>
        </w:rPr>
        <w:t>LA</w:t>
      </w:r>
      <w:r>
        <w:rPr>
          <w:rFonts w:ascii="Times New Roman" w:hAnsi="Times New Roman" w:cs="Times New Roman"/>
          <w:sz w:val="24"/>
          <w:szCs w:val="24"/>
        </w:rPr>
        <w:t xml:space="preserve">BUSSIERE, O et NADAI, A. (2015), </w:t>
      </w:r>
      <w:r w:rsidRPr="0008255F">
        <w:rPr>
          <w:rFonts w:ascii="Times New Roman" w:hAnsi="Times New Roman" w:cs="Times New Roman"/>
          <w:i/>
          <w:sz w:val="24"/>
          <w:szCs w:val="24"/>
        </w:rPr>
        <w:t>L’énergie des sciences sociales</w:t>
      </w:r>
      <w:r>
        <w:rPr>
          <w:rFonts w:ascii="Times New Roman" w:hAnsi="Times New Roman" w:cs="Times New Roman"/>
          <w:sz w:val="24"/>
          <w:szCs w:val="24"/>
        </w:rPr>
        <w:t>, Athéna.</w:t>
      </w:r>
    </w:p>
    <w:p w:rsidR="0008255F" w:rsidRPr="0008255F" w:rsidRDefault="0008255F" w:rsidP="00DC7B27">
      <w:pPr>
        <w:pStyle w:val="Sansinterligne"/>
        <w:jc w:val="both"/>
        <w:rPr>
          <w:rFonts w:ascii="Times New Roman" w:hAnsi="Times New Roman" w:cs="Times New Roman"/>
          <w:sz w:val="24"/>
          <w:szCs w:val="24"/>
        </w:rPr>
      </w:pPr>
    </w:p>
    <w:p w:rsidR="003540F2" w:rsidRDefault="003540F2" w:rsidP="003540F2">
      <w:pPr>
        <w:pStyle w:val="Sansinterligne"/>
        <w:jc w:val="both"/>
        <w:rPr>
          <w:rFonts w:ascii="Times New Roman" w:hAnsi="Times New Roman" w:cs="Times New Roman"/>
          <w:sz w:val="24"/>
          <w:szCs w:val="24"/>
        </w:rPr>
      </w:pPr>
      <w:r w:rsidRPr="00D02764">
        <w:rPr>
          <w:rFonts w:ascii="Times New Roman" w:hAnsi="Times New Roman" w:cs="Times New Roman"/>
          <w:sz w:val="24"/>
          <w:szCs w:val="24"/>
        </w:rPr>
        <w:t>PERETTI-WATEL, P.</w:t>
      </w:r>
      <w:r>
        <w:rPr>
          <w:rFonts w:ascii="Times New Roman" w:hAnsi="Times New Roman" w:cs="Times New Roman"/>
          <w:sz w:val="24"/>
          <w:szCs w:val="24"/>
        </w:rPr>
        <w:t xml:space="preserve"> (</w:t>
      </w:r>
      <w:r w:rsidRPr="00D02764">
        <w:rPr>
          <w:rFonts w:ascii="Times New Roman" w:hAnsi="Times New Roman" w:cs="Times New Roman"/>
          <w:sz w:val="24"/>
          <w:szCs w:val="24"/>
        </w:rPr>
        <w:t>2000</w:t>
      </w:r>
      <w:r>
        <w:rPr>
          <w:rFonts w:ascii="Times New Roman" w:hAnsi="Times New Roman" w:cs="Times New Roman"/>
          <w:sz w:val="24"/>
          <w:szCs w:val="24"/>
        </w:rPr>
        <w:t>),</w:t>
      </w:r>
      <w:r w:rsidRPr="00D02764">
        <w:rPr>
          <w:rFonts w:ascii="Times New Roman" w:hAnsi="Times New Roman" w:cs="Times New Roman"/>
          <w:sz w:val="24"/>
          <w:szCs w:val="24"/>
        </w:rPr>
        <w:t xml:space="preserve"> </w:t>
      </w:r>
      <w:r w:rsidRPr="00D02764">
        <w:rPr>
          <w:rFonts w:ascii="Times New Roman" w:hAnsi="Times New Roman" w:cs="Times New Roman"/>
          <w:i/>
          <w:sz w:val="24"/>
          <w:szCs w:val="24"/>
        </w:rPr>
        <w:t xml:space="preserve">Sociologie du risque, </w:t>
      </w:r>
      <w:r w:rsidRPr="00D02764">
        <w:rPr>
          <w:rFonts w:ascii="Times New Roman" w:hAnsi="Times New Roman" w:cs="Times New Roman"/>
          <w:sz w:val="24"/>
          <w:szCs w:val="24"/>
        </w:rPr>
        <w:t xml:space="preserve">Armand Colin. </w:t>
      </w:r>
    </w:p>
    <w:p w:rsidR="0008255F" w:rsidRDefault="0008255F" w:rsidP="003540F2">
      <w:pPr>
        <w:pStyle w:val="Sansinterligne"/>
        <w:jc w:val="both"/>
        <w:rPr>
          <w:rFonts w:ascii="Times New Roman" w:hAnsi="Times New Roman" w:cs="Times New Roman"/>
          <w:sz w:val="24"/>
          <w:szCs w:val="24"/>
        </w:rPr>
      </w:pPr>
    </w:p>
    <w:p w:rsidR="0008255F" w:rsidRPr="00D02764" w:rsidRDefault="0008255F" w:rsidP="003540F2">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REYNAUD, J.D. (1989), </w:t>
      </w:r>
      <w:r w:rsidRPr="0008255F">
        <w:rPr>
          <w:rFonts w:ascii="Times New Roman" w:hAnsi="Times New Roman" w:cs="Times New Roman"/>
          <w:i/>
          <w:sz w:val="24"/>
          <w:szCs w:val="24"/>
        </w:rPr>
        <w:t xml:space="preserve">Les règles du jeu. L’action collective et la régulation sociale, </w:t>
      </w:r>
      <w:r>
        <w:rPr>
          <w:rFonts w:ascii="Times New Roman" w:hAnsi="Times New Roman" w:cs="Times New Roman"/>
          <w:sz w:val="24"/>
          <w:szCs w:val="24"/>
        </w:rPr>
        <w:t>Armand Colin.</w:t>
      </w:r>
    </w:p>
    <w:sectPr w:rsidR="0008255F" w:rsidRPr="00D02764" w:rsidSect="008E44B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515" w:rsidRDefault="00E13515" w:rsidP="00720595">
      <w:pPr>
        <w:spacing w:after="0" w:line="240" w:lineRule="auto"/>
      </w:pPr>
      <w:r>
        <w:separator/>
      </w:r>
    </w:p>
  </w:endnote>
  <w:endnote w:type="continuationSeparator" w:id="0">
    <w:p w:rsidR="00E13515" w:rsidRDefault="00E13515" w:rsidP="007205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61D" w:rsidRDefault="0003561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6359"/>
      <w:docPartObj>
        <w:docPartGallery w:val="Page Numbers (Bottom of Page)"/>
        <w:docPartUnique/>
      </w:docPartObj>
    </w:sdtPr>
    <w:sdtContent>
      <w:p w:rsidR="0003561D" w:rsidRDefault="00EF16E8">
        <w:pPr>
          <w:pStyle w:val="Pieddepage"/>
          <w:jc w:val="right"/>
        </w:pPr>
        <w:fldSimple w:instr=" PAGE   \* MERGEFORMAT ">
          <w:r w:rsidR="00435548">
            <w:rPr>
              <w:noProof/>
            </w:rPr>
            <w:t>2</w:t>
          </w:r>
        </w:fldSimple>
      </w:p>
    </w:sdtContent>
  </w:sdt>
  <w:p w:rsidR="0003561D" w:rsidRDefault="0003561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61D" w:rsidRDefault="0003561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515" w:rsidRDefault="00E13515" w:rsidP="00720595">
      <w:pPr>
        <w:spacing w:after="0" w:line="240" w:lineRule="auto"/>
      </w:pPr>
      <w:r>
        <w:separator/>
      </w:r>
    </w:p>
  </w:footnote>
  <w:footnote w:type="continuationSeparator" w:id="0">
    <w:p w:rsidR="00E13515" w:rsidRDefault="00E13515" w:rsidP="00720595">
      <w:pPr>
        <w:spacing w:after="0" w:line="240" w:lineRule="auto"/>
      </w:pPr>
      <w:r>
        <w:continuationSeparator/>
      </w:r>
    </w:p>
  </w:footnote>
  <w:footnote w:id="1">
    <w:p w:rsidR="0003561D" w:rsidRPr="00B34496" w:rsidRDefault="0003561D" w:rsidP="00720595">
      <w:pPr>
        <w:pStyle w:val="Notedebasdepage"/>
      </w:pPr>
      <w:r>
        <w:rPr>
          <w:rStyle w:val="Appelnotedebasdep"/>
        </w:rPr>
        <w:footnoteRef/>
      </w:r>
      <w:r>
        <w:t xml:space="preserve"> La DRIRE est devenue  aujourd’hui la </w:t>
      </w:r>
      <w:r w:rsidRPr="00B34496">
        <w:rPr>
          <w:bCs/>
        </w:rPr>
        <w:t>direction régionale de l'enviro</w:t>
      </w:r>
      <w:r>
        <w:rPr>
          <w:bCs/>
        </w:rPr>
        <w:t xml:space="preserve">nnement, de l'aménagement et du </w:t>
      </w:r>
      <w:r w:rsidRPr="00B34496">
        <w:rPr>
          <w:bCs/>
        </w:rPr>
        <w:t>logement (DREAL)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61D" w:rsidRDefault="0003561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61D" w:rsidRDefault="0003561D">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61D" w:rsidRDefault="0003561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41A3"/>
    <w:multiLevelType w:val="multilevel"/>
    <w:tmpl w:val="86F292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B691264"/>
    <w:multiLevelType w:val="hybridMultilevel"/>
    <w:tmpl w:val="2A241F5A"/>
    <w:lvl w:ilvl="0" w:tplc="59269B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62718B7"/>
    <w:multiLevelType w:val="multilevel"/>
    <w:tmpl w:val="DA4C24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C33512F"/>
    <w:multiLevelType w:val="multilevel"/>
    <w:tmpl w:val="5CDCEE9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DA1776A"/>
    <w:multiLevelType w:val="hybridMultilevel"/>
    <w:tmpl w:val="09F0B822"/>
    <w:lvl w:ilvl="0" w:tplc="96BAE760">
      <w:start w:val="2"/>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8023316"/>
    <w:multiLevelType w:val="hybridMultilevel"/>
    <w:tmpl w:val="04FCA99E"/>
    <w:lvl w:ilvl="0" w:tplc="58F2D5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F666F"/>
    <w:rsid w:val="0000066C"/>
    <w:rsid w:val="000212C8"/>
    <w:rsid w:val="000253D7"/>
    <w:rsid w:val="0003561D"/>
    <w:rsid w:val="00055CAE"/>
    <w:rsid w:val="000649BF"/>
    <w:rsid w:val="0008255F"/>
    <w:rsid w:val="000B6777"/>
    <w:rsid w:val="000C30FF"/>
    <w:rsid w:val="000D17D0"/>
    <w:rsid w:val="001240C2"/>
    <w:rsid w:val="001329EA"/>
    <w:rsid w:val="00135D2C"/>
    <w:rsid w:val="00165BBF"/>
    <w:rsid w:val="0018134F"/>
    <w:rsid w:val="00183C13"/>
    <w:rsid w:val="00196AAB"/>
    <w:rsid w:val="001A2FAE"/>
    <w:rsid w:val="001B0788"/>
    <w:rsid w:val="001B6C5A"/>
    <w:rsid w:val="001C17E7"/>
    <w:rsid w:val="001D2FE6"/>
    <w:rsid w:val="002018FA"/>
    <w:rsid w:val="00221B8E"/>
    <w:rsid w:val="00235312"/>
    <w:rsid w:val="00241FE0"/>
    <w:rsid w:val="002461A3"/>
    <w:rsid w:val="00247183"/>
    <w:rsid w:val="0026769E"/>
    <w:rsid w:val="002822AA"/>
    <w:rsid w:val="00285968"/>
    <w:rsid w:val="00294A6F"/>
    <w:rsid w:val="00295169"/>
    <w:rsid w:val="002B01B3"/>
    <w:rsid w:val="002B3C31"/>
    <w:rsid w:val="002E248F"/>
    <w:rsid w:val="002E7B93"/>
    <w:rsid w:val="00303922"/>
    <w:rsid w:val="003067A2"/>
    <w:rsid w:val="00306F54"/>
    <w:rsid w:val="003451D2"/>
    <w:rsid w:val="003540F2"/>
    <w:rsid w:val="003544ED"/>
    <w:rsid w:val="003578FE"/>
    <w:rsid w:val="0039113D"/>
    <w:rsid w:val="003A1A83"/>
    <w:rsid w:val="003A73A0"/>
    <w:rsid w:val="003B1E60"/>
    <w:rsid w:val="003C2CE2"/>
    <w:rsid w:val="003D3481"/>
    <w:rsid w:val="004067F0"/>
    <w:rsid w:val="00420FFA"/>
    <w:rsid w:val="00421F0D"/>
    <w:rsid w:val="0042283D"/>
    <w:rsid w:val="0042460B"/>
    <w:rsid w:val="00435548"/>
    <w:rsid w:val="00445587"/>
    <w:rsid w:val="00452891"/>
    <w:rsid w:val="004945BC"/>
    <w:rsid w:val="00495EE1"/>
    <w:rsid w:val="004A4C18"/>
    <w:rsid w:val="004F7B63"/>
    <w:rsid w:val="005169EF"/>
    <w:rsid w:val="00524F35"/>
    <w:rsid w:val="005451BA"/>
    <w:rsid w:val="0055286F"/>
    <w:rsid w:val="00596A11"/>
    <w:rsid w:val="00601622"/>
    <w:rsid w:val="00625109"/>
    <w:rsid w:val="00646657"/>
    <w:rsid w:val="00660BD2"/>
    <w:rsid w:val="00683F2E"/>
    <w:rsid w:val="0068666D"/>
    <w:rsid w:val="006937E6"/>
    <w:rsid w:val="006D064F"/>
    <w:rsid w:val="006E451C"/>
    <w:rsid w:val="006F1B1F"/>
    <w:rsid w:val="006F2872"/>
    <w:rsid w:val="00720595"/>
    <w:rsid w:val="00755416"/>
    <w:rsid w:val="0075753A"/>
    <w:rsid w:val="00795A78"/>
    <w:rsid w:val="007C5552"/>
    <w:rsid w:val="007E36CC"/>
    <w:rsid w:val="007E77FF"/>
    <w:rsid w:val="0083651E"/>
    <w:rsid w:val="00850877"/>
    <w:rsid w:val="00857E90"/>
    <w:rsid w:val="008640F6"/>
    <w:rsid w:val="008849F1"/>
    <w:rsid w:val="008B3B4A"/>
    <w:rsid w:val="008C4CED"/>
    <w:rsid w:val="008D7111"/>
    <w:rsid w:val="008E44B2"/>
    <w:rsid w:val="008F0039"/>
    <w:rsid w:val="0090644D"/>
    <w:rsid w:val="009143B9"/>
    <w:rsid w:val="00930818"/>
    <w:rsid w:val="0095573E"/>
    <w:rsid w:val="009717F3"/>
    <w:rsid w:val="00984094"/>
    <w:rsid w:val="0099027D"/>
    <w:rsid w:val="009A43C3"/>
    <w:rsid w:val="00A00C07"/>
    <w:rsid w:val="00A466E0"/>
    <w:rsid w:val="00A65C61"/>
    <w:rsid w:val="00A71E55"/>
    <w:rsid w:val="00AB3C47"/>
    <w:rsid w:val="00AB4135"/>
    <w:rsid w:val="00B328F7"/>
    <w:rsid w:val="00B538B3"/>
    <w:rsid w:val="00B64DEE"/>
    <w:rsid w:val="00B65E82"/>
    <w:rsid w:val="00B850EB"/>
    <w:rsid w:val="00BD56F1"/>
    <w:rsid w:val="00C05408"/>
    <w:rsid w:val="00C46673"/>
    <w:rsid w:val="00C47C23"/>
    <w:rsid w:val="00C53E18"/>
    <w:rsid w:val="00C8601C"/>
    <w:rsid w:val="00C869BE"/>
    <w:rsid w:val="00CA0CFB"/>
    <w:rsid w:val="00CA1BB3"/>
    <w:rsid w:val="00CF009A"/>
    <w:rsid w:val="00CF0DF5"/>
    <w:rsid w:val="00CF666F"/>
    <w:rsid w:val="00D0519B"/>
    <w:rsid w:val="00D06D76"/>
    <w:rsid w:val="00D16283"/>
    <w:rsid w:val="00D235F8"/>
    <w:rsid w:val="00D236EB"/>
    <w:rsid w:val="00D450FF"/>
    <w:rsid w:val="00D555E8"/>
    <w:rsid w:val="00DB332D"/>
    <w:rsid w:val="00DC16D8"/>
    <w:rsid w:val="00DC7B27"/>
    <w:rsid w:val="00DD1D94"/>
    <w:rsid w:val="00DF3C20"/>
    <w:rsid w:val="00E1324A"/>
    <w:rsid w:val="00E13515"/>
    <w:rsid w:val="00E2354B"/>
    <w:rsid w:val="00E4218B"/>
    <w:rsid w:val="00E64799"/>
    <w:rsid w:val="00E72F58"/>
    <w:rsid w:val="00E915E9"/>
    <w:rsid w:val="00E95FEF"/>
    <w:rsid w:val="00E969DB"/>
    <w:rsid w:val="00EA590F"/>
    <w:rsid w:val="00EB153D"/>
    <w:rsid w:val="00EC0B8D"/>
    <w:rsid w:val="00EF16E8"/>
    <w:rsid w:val="00F03721"/>
    <w:rsid w:val="00F06285"/>
    <w:rsid w:val="00F22F38"/>
    <w:rsid w:val="00F33A58"/>
    <w:rsid w:val="00F44DA5"/>
    <w:rsid w:val="00F72099"/>
    <w:rsid w:val="00F73C51"/>
    <w:rsid w:val="00F7633B"/>
    <w:rsid w:val="00FB4085"/>
    <w:rsid w:val="00FC4AF9"/>
    <w:rsid w:val="00FC4BC4"/>
    <w:rsid w:val="00FF043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B2"/>
  </w:style>
  <w:style w:type="paragraph" w:styleId="Titre1">
    <w:name w:val="heading 1"/>
    <w:basedOn w:val="Normal"/>
    <w:link w:val="Titre1Car"/>
    <w:uiPriority w:val="9"/>
    <w:qFormat/>
    <w:rsid w:val="00E421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6016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218B"/>
    <w:rPr>
      <w:rFonts w:ascii="Times New Roman" w:eastAsia="Times New Roman" w:hAnsi="Times New Roman" w:cs="Times New Roman"/>
      <w:b/>
      <w:bCs/>
      <w:kern w:val="36"/>
      <w:sz w:val="48"/>
      <w:szCs w:val="48"/>
      <w:lang w:eastAsia="fr-FR"/>
    </w:rPr>
  </w:style>
  <w:style w:type="paragraph" w:customStyle="1" w:styleId="chapeau">
    <w:name w:val="chapeau"/>
    <w:basedOn w:val="Normal"/>
    <w:rsid w:val="00E421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4218B"/>
    <w:rPr>
      <w:color w:val="0000FF"/>
      <w:u w:val="single"/>
    </w:rPr>
  </w:style>
  <w:style w:type="character" w:customStyle="1" w:styleId="legend">
    <w:name w:val="legend"/>
    <w:basedOn w:val="Policepardfaut"/>
    <w:rsid w:val="00E4218B"/>
  </w:style>
  <w:style w:type="character" w:customStyle="1" w:styleId="apple-converted-space">
    <w:name w:val="apple-converted-space"/>
    <w:basedOn w:val="Policepardfaut"/>
    <w:rsid w:val="00E4218B"/>
  </w:style>
  <w:style w:type="paragraph" w:styleId="NormalWeb">
    <w:name w:val="Normal (Web)"/>
    <w:basedOn w:val="Normal"/>
    <w:uiPriority w:val="99"/>
    <w:semiHidden/>
    <w:unhideWhenUsed/>
    <w:rsid w:val="00E421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eft">
    <w:name w:val="left"/>
    <w:basedOn w:val="Policepardfaut"/>
    <w:rsid w:val="00E4218B"/>
  </w:style>
  <w:style w:type="character" w:customStyle="1" w:styleId="center">
    <w:name w:val="center"/>
    <w:basedOn w:val="Policepardfaut"/>
    <w:rsid w:val="00E4218B"/>
  </w:style>
  <w:style w:type="character" w:customStyle="1" w:styleId="right">
    <w:name w:val="right"/>
    <w:basedOn w:val="Policepardfaut"/>
    <w:rsid w:val="00E4218B"/>
  </w:style>
  <w:style w:type="character" w:customStyle="1" w:styleId="copyright">
    <w:name w:val="copyright"/>
    <w:basedOn w:val="Policepardfaut"/>
    <w:rsid w:val="00E4218B"/>
  </w:style>
  <w:style w:type="paragraph" w:styleId="Textedebulles">
    <w:name w:val="Balloon Text"/>
    <w:basedOn w:val="Normal"/>
    <w:link w:val="TextedebullesCar"/>
    <w:uiPriority w:val="99"/>
    <w:semiHidden/>
    <w:unhideWhenUsed/>
    <w:rsid w:val="00E421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218B"/>
    <w:rPr>
      <w:rFonts w:ascii="Tahoma" w:hAnsi="Tahoma" w:cs="Tahoma"/>
      <w:sz w:val="16"/>
      <w:szCs w:val="16"/>
    </w:rPr>
  </w:style>
  <w:style w:type="table" w:styleId="Grilledutableau">
    <w:name w:val="Table Grid"/>
    <w:basedOn w:val="TableauNormal"/>
    <w:uiPriority w:val="59"/>
    <w:rsid w:val="00C47C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95169"/>
    <w:pPr>
      <w:ind w:left="720"/>
      <w:contextualSpacing/>
    </w:pPr>
  </w:style>
  <w:style w:type="paragraph" w:styleId="Notedebasdepage">
    <w:name w:val="footnote text"/>
    <w:basedOn w:val="Normal"/>
    <w:link w:val="NotedebasdepageCar"/>
    <w:uiPriority w:val="99"/>
    <w:semiHidden/>
    <w:unhideWhenUsed/>
    <w:rsid w:val="00720595"/>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720595"/>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720595"/>
    <w:rPr>
      <w:vertAlign w:val="superscript"/>
    </w:rPr>
  </w:style>
  <w:style w:type="paragraph" w:styleId="Sansinterligne">
    <w:name w:val="No Spacing"/>
    <w:uiPriority w:val="1"/>
    <w:qFormat/>
    <w:rsid w:val="0068666D"/>
    <w:pPr>
      <w:spacing w:after="0" w:line="240" w:lineRule="auto"/>
    </w:pPr>
  </w:style>
  <w:style w:type="paragraph" w:customStyle="1" w:styleId="Default">
    <w:name w:val="Default"/>
    <w:rsid w:val="00221B8E"/>
    <w:pPr>
      <w:autoSpaceDE w:val="0"/>
      <w:autoSpaceDN w:val="0"/>
      <w:adjustRightInd w:val="0"/>
      <w:spacing w:after="0" w:line="240" w:lineRule="auto"/>
    </w:pPr>
    <w:rPr>
      <w:rFonts w:ascii="Calibri" w:hAnsi="Calibri" w:cs="Calibri"/>
      <w:color w:val="000000"/>
      <w:sz w:val="24"/>
      <w:szCs w:val="24"/>
    </w:rPr>
  </w:style>
  <w:style w:type="character" w:styleId="Marquedecommentaire">
    <w:name w:val="annotation reference"/>
    <w:basedOn w:val="Policepardfaut"/>
    <w:uiPriority w:val="99"/>
    <w:semiHidden/>
    <w:unhideWhenUsed/>
    <w:rsid w:val="003D3481"/>
    <w:rPr>
      <w:sz w:val="16"/>
      <w:szCs w:val="16"/>
    </w:rPr>
  </w:style>
  <w:style w:type="paragraph" w:styleId="Commentaire">
    <w:name w:val="annotation text"/>
    <w:basedOn w:val="Normal"/>
    <w:link w:val="CommentaireCar"/>
    <w:uiPriority w:val="99"/>
    <w:semiHidden/>
    <w:unhideWhenUsed/>
    <w:rsid w:val="003D3481"/>
    <w:pPr>
      <w:spacing w:line="240" w:lineRule="auto"/>
    </w:pPr>
    <w:rPr>
      <w:sz w:val="20"/>
      <w:szCs w:val="20"/>
    </w:rPr>
  </w:style>
  <w:style w:type="character" w:customStyle="1" w:styleId="CommentaireCar">
    <w:name w:val="Commentaire Car"/>
    <w:basedOn w:val="Policepardfaut"/>
    <w:link w:val="Commentaire"/>
    <w:uiPriority w:val="99"/>
    <w:semiHidden/>
    <w:rsid w:val="003D3481"/>
    <w:rPr>
      <w:sz w:val="20"/>
      <w:szCs w:val="20"/>
    </w:rPr>
  </w:style>
  <w:style w:type="paragraph" w:styleId="En-tte">
    <w:name w:val="header"/>
    <w:basedOn w:val="Normal"/>
    <w:link w:val="En-tteCar"/>
    <w:uiPriority w:val="99"/>
    <w:semiHidden/>
    <w:unhideWhenUsed/>
    <w:rsid w:val="00FC4AF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C4AF9"/>
  </w:style>
  <w:style w:type="paragraph" w:styleId="Pieddepage">
    <w:name w:val="footer"/>
    <w:basedOn w:val="Normal"/>
    <w:link w:val="PieddepageCar"/>
    <w:uiPriority w:val="99"/>
    <w:unhideWhenUsed/>
    <w:rsid w:val="00FC4A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4AF9"/>
  </w:style>
  <w:style w:type="character" w:customStyle="1" w:styleId="Titre2Car">
    <w:name w:val="Titre 2 Car"/>
    <w:basedOn w:val="Policepardfaut"/>
    <w:link w:val="Titre2"/>
    <w:uiPriority w:val="9"/>
    <w:semiHidden/>
    <w:rsid w:val="00601622"/>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601622"/>
    <w:rPr>
      <w:b/>
      <w:bCs/>
    </w:rPr>
  </w:style>
  <w:style w:type="character" w:customStyle="1" w:styleId="familyname">
    <w:name w:val="familyname"/>
    <w:basedOn w:val="Policepardfaut"/>
    <w:rsid w:val="00601622"/>
  </w:style>
  <w:style w:type="character" w:styleId="Accentuation">
    <w:name w:val="Emphasis"/>
    <w:basedOn w:val="Policepardfaut"/>
    <w:uiPriority w:val="20"/>
    <w:qFormat/>
    <w:rsid w:val="00601622"/>
    <w:rPr>
      <w:i/>
      <w:iCs/>
    </w:rPr>
  </w:style>
  <w:style w:type="character" w:customStyle="1" w:styleId="text">
    <w:name w:val="text"/>
    <w:basedOn w:val="Policepardfaut"/>
    <w:rsid w:val="00601622"/>
  </w:style>
  <w:style w:type="paragraph" w:styleId="Objetducommentaire">
    <w:name w:val="annotation subject"/>
    <w:basedOn w:val="Commentaire"/>
    <w:next w:val="Commentaire"/>
    <w:link w:val="ObjetducommentaireCar"/>
    <w:uiPriority w:val="99"/>
    <w:semiHidden/>
    <w:unhideWhenUsed/>
    <w:rsid w:val="00AB4135"/>
    <w:rPr>
      <w:b/>
      <w:bCs/>
    </w:rPr>
  </w:style>
  <w:style w:type="character" w:customStyle="1" w:styleId="ObjetducommentaireCar">
    <w:name w:val="Objet du commentaire Car"/>
    <w:basedOn w:val="CommentaireCar"/>
    <w:link w:val="Objetducommentaire"/>
    <w:uiPriority w:val="99"/>
    <w:semiHidden/>
    <w:rsid w:val="00AB4135"/>
    <w:rPr>
      <w:b/>
      <w:bCs/>
    </w:rPr>
  </w:style>
  <w:style w:type="paragraph" w:styleId="Rvision">
    <w:name w:val="Revision"/>
    <w:hidden/>
    <w:uiPriority w:val="99"/>
    <w:semiHidden/>
    <w:rsid w:val="00AB4135"/>
    <w:pPr>
      <w:spacing w:after="0" w:line="240" w:lineRule="auto"/>
    </w:pPr>
  </w:style>
</w:styles>
</file>

<file path=word/webSettings.xml><?xml version="1.0" encoding="utf-8"?>
<w:webSettings xmlns:r="http://schemas.openxmlformats.org/officeDocument/2006/relationships" xmlns:w="http://schemas.openxmlformats.org/wordprocessingml/2006/main">
  <w:divs>
    <w:div w:id="823743248">
      <w:bodyDiv w:val="1"/>
      <w:marLeft w:val="0"/>
      <w:marRight w:val="0"/>
      <w:marTop w:val="0"/>
      <w:marBottom w:val="0"/>
      <w:divBdr>
        <w:top w:val="none" w:sz="0" w:space="0" w:color="auto"/>
        <w:left w:val="none" w:sz="0" w:space="0" w:color="auto"/>
        <w:bottom w:val="none" w:sz="0" w:space="0" w:color="auto"/>
        <w:right w:val="none" w:sz="0" w:space="0" w:color="auto"/>
      </w:divBdr>
      <w:divsChild>
        <w:div w:id="390034511">
          <w:marLeft w:val="0"/>
          <w:marRight w:val="0"/>
          <w:marTop w:val="225"/>
          <w:marBottom w:val="150"/>
          <w:divBdr>
            <w:top w:val="none" w:sz="0" w:space="0" w:color="auto"/>
            <w:left w:val="none" w:sz="0" w:space="0" w:color="auto"/>
            <w:bottom w:val="none" w:sz="0" w:space="0" w:color="auto"/>
            <w:right w:val="none" w:sz="0" w:space="0" w:color="auto"/>
          </w:divBdr>
          <w:divsChild>
            <w:div w:id="1195461184">
              <w:marLeft w:val="0"/>
              <w:marRight w:val="0"/>
              <w:marTop w:val="0"/>
              <w:marBottom w:val="0"/>
              <w:divBdr>
                <w:top w:val="none" w:sz="0" w:space="0" w:color="auto"/>
                <w:left w:val="none" w:sz="0" w:space="0" w:color="auto"/>
                <w:bottom w:val="none" w:sz="0" w:space="0" w:color="auto"/>
                <w:right w:val="none" w:sz="0" w:space="0" w:color="auto"/>
              </w:divBdr>
              <w:divsChild>
                <w:div w:id="27698528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490905231">
          <w:marLeft w:val="0"/>
          <w:marRight w:val="0"/>
          <w:marTop w:val="0"/>
          <w:marBottom w:val="0"/>
          <w:divBdr>
            <w:top w:val="none" w:sz="0" w:space="0" w:color="auto"/>
            <w:left w:val="none" w:sz="0" w:space="0" w:color="auto"/>
            <w:bottom w:val="none" w:sz="0" w:space="0" w:color="auto"/>
            <w:right w:val="none" w:sz="0" w:space="0" w:color="auto"/>
          </w:divBdr>
          <w:divsChild>
            <w:div w:id="677539128">
              <w:marLeft w:val="0"/>
              <w:marRight w:val="0"/>
              <w:marTop w:val="0"/>
              <w:marBottom w:val="0"/>
              <w:divBdr>
                <w:top w:val="none" w:sz="0" w:space="0" w:color="auto"/>
                <w:left w:val="none" w:sz="0" w:space="0" w:color="auto"/>
                <w:bottom w:val="single" w:sz="18" w:space="5" w:color="DDDDDD"/>
                <w:right w:val="none" w:sz="0" w:space="0" w:color="auto"/>
              </w:divBdr>
            </w:div>
            <w:div w:id="438568666">
              <w:marLeft w:val="0"/>
              <w:marRight w:val="0"/>
              <w:marTop w:val="0"/>
              <w:marBottom w:val="0"/>
              <w:divBdr>
                <w:top w:val="none" w:sz="0" w:space="0" w:color="auto"/>
                <w:left w:val="none" w:sz="0" w:space="0" w:color="auto"/>
                <w:bottom w:val="none" w:sz="0" w:space="0" w:color="auto"/>
                <w:right w:val="none" w:sz="0" w:space="0" w:color="auto"/>
              </w:divBdr>
            </w:div>
          </w:divsChild>
        </w:div>
        <w:div w:id="1944191764">
          <w:marLeft w:val="0"/>
          <w:marRight w:val="0"/>
          <w:marTop w:val="225"/>
          <w:marBottom w:val="300"/>
          <w:divBdr>
            <w:top w:val="none" w:sz="0" w:space="0" w:color="auto"/>
            <w:left w:val="none" w:sz="0" w:space="0" w:color="auto"/>
            <w:bottom w:val="none" w:sz="0" w:space="0" w:color="auto"/>
            <w:right w:val="none" w:sz="0" w:space="0" w:color="auto"/>
          </w:divBdr>
          <w:divsChild>
            <w:div w:id="1036807889">
              <w:marLeft w:val="300"/>
              <w:marRight w:val="0"/>
              <w:marTop w:val="0"/>
              <w:marBottom w:val="150"/>
              <w:divBdr>
                <w:top w:val="none" w:sz="0" w:space="0" w:color="auto"/>
                <w:left w:val="none" w:sz="0" w:space="0" w:color="auto"/>
                <w:bottom w:val="none" w:sz="0" w:space="0" w:color="auto"/>
                <w:right w:val="none" w:sz="0" w:space="0" w:color="auto"/>
              </w:divBdr>
              <w:divsChild>
                <w:div w:id="1346398384">
                  <w:marLeft w:val="0"/>
                  <w:marRight w:val="0"/>
                  <w:marTop w:val="0"/>
                  <w:marBottom w:val="0"/>
                  <w:divBdr>
                    <w:top w:val="none" w:sz="0" w:space="0" w:color="auto"/>
                    <w:left w:val="none" w:sz="0" w:space="0" w:color="auto"/>
                    <w:bottom w:val="none" w:sz="0" w:space="0" w:color="auto"/>
                    <w:right w:val="none" w:sz="0" w:space="0" w:color="auto"/>
                  </w:divBdr>
                </w:div>
                <w:div w:id="243422945">
                  <w:marLeft w:val="0"/>
                  <w:marRight w:val="0"/>
                  <w:marTop w:val="0"/>
                  <w:marBottom w:val="0"/>
                  <w:divBdr>
                    <w:top w:val="none" w:sz="0" w:space="0" w:color="auto"/>
                    <w:left w:val="single" w:sz="6" w:space="0" w:color="DDDDDD"/>
                    <w:bottom w:val="single" w:sz="18" w:space="0" w:color="DDDDDD"/>
                    <w:right w:val="single" w:sz="6" w:space="0" w:color="DDDDDD"/>
                  </w:divBdr>
                  <w:divsChild>
                    <w:div w:id="1543328400">
                      <w:marLeft w:val="15"/>
                      <w:marRight w:val="15"/>
                      <w:marTop w:val="0"/>
                      <w:marBottom w:val="0"/>
                      <w:divBdr>
                        <w:top w:val="none" w:sz="0" w:space="0" w:color="auto"/>
                        <w:left w:val="none" w:sz="0" w:space="0" w:color="auto"/>
                        <w:bottom w:val="none" w:sz="0" w:space="0" w:color="auto"/>
                        <w:right w:val="none" w:sz="0" w:space="0" w:color="auto"/>
                      </w:divBdr>
                    </w:div>
                  </w:divsChild>
                </w:div>
                <w:div w:id="795026771">
                  <w:marLeft w:val="0"/>
                  <w:marRight w:val="0"/>
                  <w:marTop w:val="0"/>
                  <w:marBottom w:val="0"/>
                  <w:divBdr>
                    <w:top w:val="none" w:sz="0" w:space="0" w:color="auto"/>
                    <w:left w:val="single" w:sz="6" w:space="0" w:color="DDDDDD"/>
                    <w:bottom w:val="none" w:sz="0" w:space="0" w:color="auto"/>
                    <w:right w:val="single" w:sz="6" w:space="0" w:color="DDDDDD"/>
                  </w:divBdr>
                  <w:divsChild>
                    <w:div w:id="126315916">
                      <w:marLeft w:val="15"/>
                      <w:marRight w:val="15"/>
                      <w:marTop w:val="0"/>
                      <w:marBottom w:val="0"/>
                      <w:divBdr>
                        <w:top w:val="none" w:sz="0" w:space="0" w:color="auto"/>
                        <w:left w:val="none" w:sz="0" w:space="0" w:color="auto"/>
                        <w:bottom w:val="none" w:sz="0" w:space="0" w:color="auto"/>
                        <w:right w:val="none" w:sz="0" w:space="0" w:color="auto"/>
                      </w:divBdr>
                    </w:div>
                  </w:divsChild>
                </w:div>
                <w:div w:id="20308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16698">
      <w:bodyDiv w:val="1"/>
      <w:marLeft w:val="0"/>
      <w:marRight w:val="0"/>
      <w:marTop w:val="0"/>
      <w:marBottom w:val="0"/>
      <w:divBdr>
        <w:top w:val="none" w:sz="0" w:space="0" w:color="auto"/>
        <w:left w:val="none" w:sz="0" w:space="0" w:color="auto"/>
        <w:bottom w:val="none" w:sz="0" w:space="0" w:color="auto"/>
        <w:right w:val="none" w:sz="0" w:space="0" w:color="auto"/>
      </w:divBdr>
    </w:div>
    <w:div w:id="1660621945">
      <w:bodyDiv w:val="1"/>
      <w:marLeft w:val="0"/>
      <w:marRight w:val="0"/>
      <w:marTop w:val="0"/>
      <w:marBottom w:val="0"/>
      <w:divBdr>
        <w:top w:val="none" w:sz="0" w:space="0" w:color="auto"/>
        <w:left w:val="none" w:sz="0" w:space="0" w:color="auto"/>
        <w:bottom w:val="none" w:sz="0" w:space="0" w:color="auto"/>
        <w:right w:val="none" w:sz="0" w:space="0" w:color="auto"/>
      </w:divBdr>
      <w:divsChild>
        <w:div w:id="1261180128">
          <w:marLeft w:val="0"/>
          <w:marRight w:val="0"/>
          <w:marTop w:val="1047"/>
          <w:marBottom w:val="0"/>
          <w:divBdr>
            <w:top w:val="none" w:sz="0" w:space="0" w:color="auto"/>
            <w:left w:val="none" w:sz="0" w:space="0" w:color="auto"/>
            <w:bottom w:val="none" w:sz="0" w:space="0" w:color="auto"/>
            <w:right w:val="none" w:sz="0" w:space="0" w:color="auto"/>
          </w:divBdr>
        </w:div>
        <w:div w:id="1468159481">
          <w:marLeft w:val="0"/>
          <w:marRight w:val="0"/>
          <w:marTop w:val="104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tu-environnement.com/ae/news/mines-uranium-gep-limousin-11028.php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41E8F-FAD2-48B2-8793-4334666BF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5838</Words>
  <Characters>32112</Characters>
  <Application>Microsoft Office Word</Application>
  <DocSecurity>0</DocSecurity>
  <Lines>267</Lines>
  <Paragraphs>75</Paragraphs>
  <ScaleCrop>false</ScaleCrop>
  <HeadingPairs>
    <vt:vector size="2" baseType="variant">
      <vt:variant>
        <vt:lpstr>Titre</vt:lpstr>
      </vt:variant>
      <vt:variant>
        <vt:i4>1</vt:i4>
      </vt:variant>
    </vt:vector>
  </HeadingPairs>
  <TitlesOfParts>
    <vt:vector size="1" baseType="lpstr">
      <vt:lpstr/>
    </vt:vector>
  </TitlesOfParts>
  <Company>Ecole des Mines de Nantes</Company>
  <LinksUpToDate>false</LinksUpToDate>
  <CharactersWithSpaces>37875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sbrete07</dc:creator>
  <cp:lastModifiedBy>sbrete07</cp:lastModifiedBy>
  <cp:revision>2</cp:revision>
  <cp:lastPrinted>2016-03-09T12:09:00Z</cp:lastPrinted>
  <dcterms:created xsi:type="dcterms:W3CDTF">2016-03-09T15:09:00Z</dcterms:created>
  <dcterms:modified xsi:type="dcterms:W3CDTF">2016-03-09T15:09:00Z</dcterms:modified>
</cp:coreProperties>
</file>