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CF6FC" w14:textId="77777777" w:rsidR="001B59C0" w:rsidRDefault="001B59C0" w:rsidP="00CE3159">
      <w:pPr>
        <w:jc w:val="center"/>
        <w:rPr>
          <w:b/>
          <w:sz w:val="40"/>
          <w:szCs w:val="40"/>
        </w:rPr>
      </w:pPr>
      <w:bookmarkStart w:id="0" w:name="_GoBack"/>
      <w:bookmarkEnd w:id="0"/>
    </w:p>
    <w:p w14:paraId="79BA9125" w14:textId="359C7A47" w:rsidR="00A3231F" w:rsidRPr="00176F37" w:rsidRDefault="00C4419C" w:rsidP="00EB5F21">
      <w:pPr>
        <w:jc w:val="center"/>
        <w:rPr>
          <w:b/>
          <w:sz w:val="36"/>
          <w:szCs w:val="36"/>
        </w:rPr>
      </w:pPr>
      <w:r>
        <w:rPr>
          <w:b/>
          <w:sz w:val="36"/>
          <w:szCs w:val="36"/>
        </w:rPr>
        <w:t xml:space="preserve">Les effets du CICE sur l’emploi et les salaires : une évaluation </w:t>
      </w:r>
      <w:proofErr w:type="spellStart"/>
      <w:r>
        <w:rPr>
          <w:b/>
          <w:sz w:val="36"/>
          <w:szCs w:val="36"/>
        </w:rPr>
        <w:t>expost</w:t>
      </w:r>
      <w:proofErr w:type="spellEnd"/>
    </w:p>
    <w:p w14:paraId="055F3919" w14:textId="77777777" w:rsidR="00A3231F" w:rsidRPr="00C77630" w:rsidRDefault="00A3231F" w:rsidP="00A3231F">
      <w:pPr>
        <w:autoSpaceDE w:val="0"/>
        <w:autoSpaceDN w:val="0"/>
        <w:adjustRightInd w:val="0"/>
        <w:jc w:val="right"/>
        <w:rPr>
          <w:rFonts w:ascii="TimesNewRoman,Italic" w:hAnsi="TimesNewRoman,Italic" w:cs="TimesNewRoman,Italic"/>
          <w:i/>
          <w:iCs/>
        </w:rPr>
      </w:pPr>
    </w:p>
    <w:p w14:paraId="311E22EA" w14:textId="77777777" w:rsidR="00176F37" w:rsidRDefault="00176F37" w:rsidP="00A3231F">
      <w:pPr>
        <w:jc w:val="center"/>
        <w:sectPr w:rsidR="00176F37" w:rsidSect="00176F37">
          <w:footerReference w:type="default" r:id="rId9"/>
          <w:type w:val="continuous"/>
          <w:pgSz w:w="11906" w:h="16838"/>
          <w:pgMar w:top="851" w:right="1417" w:bottom="1417" w:left="1417" w:header="708" w:footer="708" w:gutter="0"/>
          <w:cols w:space="708"/>
          <w:docGrid w:linePitch="360"/>
        </w:sectPr>
      </w:pPr>
    </w:p>
    <w:p w14:paraId="6C2E32A3" w14:textId="77777777" w:rsidR="009406B4" w:rsidRDefault="009406B4" w:rsidP="00A3231F">
      <w:pPr>
        <w:jc w:val="center"/>
      </w:pPr>
    </w:p>
    <w:p w14:paraId="435989EE" w14:textId="77777777" w:rsidR="00A3231F" w:rsidRDefault="00A3231F" w:rsidP="00A3231F">
      <w:pPr>
        <w:jc w:val="center"/>
      </w:pPr>
    </w:p>
    <w:p w14:paraId="5D0D4CE5" w14:textId="78B18E11" w:rsidR="00A3231F" w:rsidRPr="00CE3159" w:rsidRDefault="00C4419C" w:rsidP="00CE3159">
      <w:pPr>
        <w:jc w:val="center"/>
        <w:rPr>
          <w:smallCaps/>
        </w:rPr>
      </w:pPr>
      <w:r>
        <w:t>Mathieu Bunel</w:t>
      </w:r>
      <w:r w:rsidR="0005264D">
        <w:rPr>
          <w:rStyle w:val="Appelnotedebasdep"/>
        </w:rPr>
        <w:footnoteReference w:id="1"/>
      </w:r>
      <w:r w:rsidR="00176F37">
        <w:t xml:space="preserve">, </w:t>
      </w:r>
      <w:r w:rsidR="0005264D">
        <w:t>Yannick L’</w:t>
      </w:r>
      <w:proofErr w:type="spellStart"/>
      <w:r w:rsidR="0005264D">
        <w:t>Horty</w:t>
      </w:r>
      <w:proofErr w:type="spellEnd"/>
      <w:r w:rsidR="0005264D">
        <w:rPr>
          <w:rStyle w:val="Appelnotedebasdep"/>
        </w:rPr>
        <w:footnoteReference w:id="2"/>
      </w:r>
      <w:r w:rsidR="0005264D" w:rsidRPr="00CE3159">
        <w:rPr>
          <w:smallCaps/>
        </w:rPr>
        <w:t xml:space="preserve"> </w:t>
      </w:r>
      <w:r w:rsidR="0005264D">
        <w:t xml:space="preserve">et </w:t>
      </w:r>
      <w:r>
        <w:t>Xi Yang</w:t>
      </w:r>
      <w:r w:rsidR="0005264D">
        <w:rPr>
          <w:rStyle w:val="Appelnotedebasdep"/>
        </w:rPr>
        <w:footnoteReference w:id="3"/>
      </w:r>
    </w:p>
    <w:p w14:paraId="624BDA6F" w14:textId="77777777" w:rsidR="00A3231F" w:rsidRPr="00CE3159" w:rsidRDefault="00A3231F" w:rsidP="00A3231F">
      <w:pPr>
        <w:jc w:val="center"/>
        <w:rPr>
          <w:sz w:val="22"/>
          <w:szCs w:val="22"/>
        </w:rPr>
      </w:pPr>
    </w:p>
    <w:p w14:paraId="1307CE16" w14:textId="77777777" w:rsidR="00A3231F" w:rsidRPr="00CE3159" w:rsidRDefault="00A3231F" w:rsidP="00A3231F">
      <w:pPr>
        <w:jc w:val="center"/>
        <w:rPr>
          <w:sz w:val="22"/>
          <w:szCs w:val="22"/>
        </w:rPr>
      </w:pPr>
    </w:p>
    <w:p w14:paraId="2D79DBD7" w14:textId="77777777" w:rsidR="009617CC" w:rsidRDefault="009617CC" w:rsidP="001B59C0">
      <w:pPr>
        <w:jc w:val="center"/>
        <w:rPr>
          <w:sz w:val="22"/>
          <w:szCs w:val="22"/>
        </w:rPr>
      </w:pPr>
    </w:p>
    <w:p w14:paraId="36F38346" w14:textId="2D51FA70" w:rsidR="001B59C0" w:rsidRDefault="005D2F71" w:rsidP="001B59C0">
      <w:pPr>
        <w:jc w:val="center"/>
        <w:rPr>
          <w:sz w:val="22"/>
          <w:szCs w:val="22"/>
        </w:rPr>
      </w:pPr>
      <w:r>
        <w:rPr>
          <w:sz w:val="22"/>
          <w:szCs w:val="22"/>
        </w:rPr>
        <w:t>Mars</w:t>
      </w:r>
      <w:r w:rsidR="005964F1">
        <w:rPr>
          <w:sz w:val="22"/>
          <w:szCs w:val="22"/>
        </w:rPr>
        <w:t xml:space="preserve"> 2016</w:t>
      </w:r>
    </w:p>
    <w:p w14:paraId="36FFE8CD" w14:textId="77777777" w:rsidR="001B59C0" w:rsidRDefault="001B59C0" w:rsidP="001B59C0">
      <w:pPr>
        <w:jc w:val="center"/>
        <w:rPr>
          <w:sz w:val="22"/>
          <w:szCs w:val="22"/>
        </w:rPr>
      </w:pPr>
    </w:p>
    <w:p w14:paraId="1292C82F" w14:textId="77777777" w:rsidR="009617CC" w:rsidRDefault="009617CC" w:rsidP="001B59C0">
      <w:pPr>
        <w:jc w:val="center"/>
        <w:rPr>
          <w:sz w:val="22"/>
          <w:szCs w:val="22"/>
        </w:rPr>
      </w:pPr>
    </w:p>
    <w:p w14:paraId="24166009" w14:textId="77777777" w:rsidR="009617CC" w:rsidRPr="009617CC" w:rsidRDefault="009617CC" w:rsidP="001B59C0">
      <w:pPr>
        <w:jc w:val="center"/>
        <w:rPr>
          <w:b/>
          <w:bCs/>
        </w:rPr>
      </w:pPr>
      <w:r w:rsidRPr="009617CC">
        <w:rPr>
          <w:b/>
          <w:bCs/>
        </w:rPr>
        <w:t>Résumé</w:t>
      </w:r>
    </w:p>
    <w:p w14:paraId="4398629A" w14:textId="01FF2E36" w:rsidR="00A16F26" w:rsidRDefault="00B24524" w:rsidP="001B59C0">
      <w:pPr>
        <w:jc w:val="both"/>
      </w:pPr>
      <w:r>
        <w:t>Le Crédit d’Impôt pour la Compétitivité et l’Emploi est l’une des mesure</w:t>
      </w:r>
      <w:r w:rsidR="00A16F26">
        <w:t>s</w:t>
      </w:r>
      <w:r>
        <w:t xml:space="preserve"> phare du quinquennat de François Hollande. Mis en œuvre à partir de 2013, ce dispositif consiste en un crédit d’impôt d’un montant de 4 % de la masse salariale (6% en 2014) pour tous les salaires jusqu’à 2,5 Smic</w:t>
      </w:r>
      <w:r w:rsidR="00A16F26">
        <w:t>.</w:t>
      </w:r>
      <w:r>
        <w:t xml:space="preserve"> </w:t>
      </w:r>
      <w:r w:rsidR="00A16F26">
        <w:t xml:space="preserve">Il s’agit d’un dispositif massif pour un coût budgétaire estimé à </w:t>
      </w:r>
      <w:r w:rsidR="00A16F26" w:rsidRPr="00E0107B">
        <w:t xml:space="preserve">11,2 milliards d’euros </w:t>
      </w:r>
      <w:r w:rsidR="00A16F26">
        <w:t>en 2013.</w:t>
      </w:r>
      <w:r w:rsidR="00A16F26" w:rsidRPr="00E0107B">
        <w:t xml:space="preserve"> </w:t>
      </w:r>
      <w:r w:rsidR="00A16F26">
        <w:t xml:space="preserve">L’objet de cette étude est de proposer </w:t>
      </w:r>
      <w:r w:rsidR="00225972">
        <w:t xml:space="preserve">une </w:t>
      </w:r>
      <w:r w:rsidR="00A16F26">
        <w:t xml:space="preserve">évaluation </w:t>
      </w:r>
      <w:r w:rsidR="00A16F26" w:rsidRPr="00A16F26">
        <w:rPr>
          <w:i/>
        </w:rPr>
        <w:t>ex post</w:t>
      </w:r>
      <w:r w:rsidR="00A16F26">
        <w:t xml:space="preserve"> des effets de ce dispositif sur l’emploi, les salaires et un ensemble d’autres variables caractérisant les réactions des entreprises au crédit d’impôt, notamment leurs marges et leurs comportement d’investissement. Elle repose sur l’exploitation d’un ensemble exhaustif de bases de données individuelles d’entreprise combinant les fichiers de la DGFIP, de l’ACOSS et de l’INSEE.</w:t>
      </w:r>
    </w:p>
    <w:p w14:paraId="7F662E17" w14:textId="77777777" w:rsidR="00A3231F" w:rsidRDefault="00A3231F" w:rsidP="001B59C0">
      <w:pPr>
        <w:jc w:val="both"/>
        <w:rPr>
          <w:rFonts w:ascii="TimesNewRomanPSMT" w:hAnsi="TimesNewRomanPSMT" w:cs="TimesNewRomanPSMT"/>
          <w:i/>
        </w:rPr>
      </w:pPr>
    </w:p>
    <w:p w14:paraId="615BED7C" w14:textId="77777777" w:rsidR="002A6793" w:rsidRPr="00A16F26" w:rsidRDefault="002A6793" w:rsidP="002A6793">
      <w:pPr>
        <w:pStyle w:val="Default"/>
        <w:rPr>
          <w:rFonts w:ascii="Times New Roman" w:hAnsi="Times New Roman" w:cs="Times New Roman"/>
        </w:rPr>
      </w:pPr>
    </w:p>
    <w:p w14:paraId="772B0A79" w14:textId="77777777" w:rsidR="002A6793" w:rsidRPr="00A16F26" w:rsidRDefault="002A6793" w:rsidP="002A6793">
      <w:pPr>
        <w:pStyle w:val="Default"/>
        <w:rPr>
          <w:rFonts w:ascii="Times New Roman" w:hAnsi="Times New Roman" w:cs="Times New Roman"/>
        </w:rPr>
      </w:pPr>
      <w:r w:rsidRPr="00A16F26">
        <w:rPr>
          <w:rFonts w:ascii="Times New Roman" w:hAnsi="Times New Roman" w:cs="Times New Roman"/>
          <w:b/>
        </w:rPr>
        <w:t>JEL-codes</w:t>
      </w:r>
      <w:proofErr w:type="gramStart"/>
      <w:r w:rsidRPr="00A16F26">
        <w:rPr>
          <w:rFonts w:ascii="Times New Roman" w:hAnsi="Times New Roman" w:cs="Times New Roman"/>
          <w:b/>
        </w:rPr>
        <w:t>:</w:t>
      </w:r>
      <w:r w:rsidRPr="00A16F26">
        <w:rPr>
          <w:rFonts w:ascii="Times New Roman" w:hAnsi="Times New Roman" w:cs="Times New Roman"/>
        </w:rPr>
        <w:t xml:space="preserve">  C14</w:t>
      </w:r>
      <w:proofErr w:type="gramEnd"/>
      <w:r w:rsidRPr="00A16F26">
        <w:rPr>
          <w:rFonts w:ascii="Times New Roman" w:hAnsi="Times New Roman" w:cs="Times New Roman"/>
        </w:rPr>
        <w:t>, H22, H23.</w:t>
      </w:r>
    </w:p>
    <w:p w14:paraId="493DC283" w14:textId="10C39F3B" w:rsidR="002A6793" w:rsidRPr="00A16F26" w:rsidRDefault="002A6793" w:rsidP="002A6793">
      <w:pPr>
        <w:rPr>
          <w:lang w:val="en-US"/>
        </w:rPr>
      </w:pPr>
      <w:r w:rsidRPr="00A16F26">
        <w:rPr>
          <w:b/>
          <w:lang w:val="en-US"/>
        </w:rPr>
        <w:t>Key words:</w:t>
      </w:r>
      <w:r w:rsidR="00A16F26">
        <w:rPr>
          <w:lang w:val="en-US"/>
        </w:rPr>
        <w:t xml:space="preserve"> Tax </w:t>
      </w:r>
      <w:proofErr w:type="gramStart"/>
      <w:r w:rsidR="00A16F26">
        <w:rPr>
          <w:lang w:val="en-US"/>
        </w:rPr>
        <w:t>cre</w:t>
      </w:r>
      <w:r w:rsidRPr="00A16F26">
        <w:rPr>
          <w:lang w:val="en-US"/>
        </w:rPr>
        <w:t>dit ;</w:t>
      </w:r>
      <w:proofErr w:type="gramEnd"/>
      <w:r w:rsidRPr="00A16F26">
        <w:rPr>
          <w:lang w:val="en-US"/>
        </w:rPr>
        <w:t xml:space="preserve"> policy evaluation ; continuous treatment ; SUTVA spillovers</w:t>
      </w:r>
    </w:p>
    <w:p w14:paraId="22CFB878" w14:textId="77777777" w:rsidR="00A3231F" w:rsidRPr="00A16F26" w:rsidRDefault="00A3231F" w:rsidP="00A3231F">
      <w:pPr>
        <w:jc w:val="center"/>
        <w:rPr>
          <w:sz w:val="20"/>
          <w:szCs w:val="20"/>
          <w:lang w:val="en-US"/>
        </w:rPr>
      </w:pPr>
    </w:p>
    <w:p w14:paraId="15E4A5DE" w14:textId="77777777" w:rsidR="00A3231F" w:rsidRPr="00A16F26" w:rsidRDefault="00A3231F" w:rsidP="00A3231F">
      <w:pPr>
        <w:jc w:val="center"/>
        <w:rPr>
          <w:sz w:val="20"/>
          <w:szCs w:val="20"/>
          <w:lang w:val="en-US"/>
        </w:rPr>
      </w:pPr>
    </w:p>
    <w:p w14:paraId="7FBBFA0E" w14:textId="77777777" w:rsidR="004819E9" w:rsidRPr="00A16F26" w:rsidRDefault="004819E9" w:rsidP="00A3231F">
      <w:pPr>
        <w:jc w:val="center"/>
        <w:rPr>
          <w:sz w:val="20"/>
          <w:szCs w:val="20"/>
          <w:lang w:val="en-US"/>
        </w:rPr>
      </w:pPr>
    </w:p>
    <w:p w14:paraId="6974E511" w14:textId="77777777" w:rsidR="008065A0" w:rsidRPr="00A16F26" w:rsidRDefault="008065A0" w:rsidP="00A3231F">
      <w:pPr>
        <w:jc w:val="center"/>
        <w:rPr>
          <w:sz w:val="20"/>
          <w:szCs w:val="20"/>
          <w:lang w:val="en-US"/>
        </w:rPr>
      </w:pPr>
    </w:p>
    <w:p w14:paraId="4484B24A" w14:textId="77777777" w:rsidR="008065A0" w:rsidRPr="00A16F26" w:rsidRDefault="008065A0" w:rsidP="00A3231F">
      <w:pPr>
        <w:jc w:val="center"/>
        <w:rPr>
          <w:sz w:val="20"/>
          <w:szCs w:val="20"/>
          <w:lang w:val="en-US"/>
        </w:rPr>
      </w:pPr>
    </w:p>
    <w:p w14:paraId="3E0E3FDC" w14:textId="77777777" w:rsidR="00176F37" w:rsidRPr="00A16F26" w:rsidRDefault="00176F37" w:rsidP="00176F37">
      <w:pPr>
        <w:tabs>
          <w:tab w:val="left" w:pos="360"/>
          <w:tab w:val="left" w:pos="540"/>
        </w:tabs>
        <w:spacing w:before="60"/>
        <w:jc w:val="both"/>
        <w:rPr>
          <w:bCs/>
          <w:sz w:val="20"/>
          <w:szCs w:val="20"/>
          <w:lang w:val="en-US"/>
        </w:rPr>
        <w:sectPr w:rsidR="00176F37" w:rsidRPr="00A16F26" w:rsidSect="00176F37">
          <w:footnotePr>
            <w:numFmt w:val="chicago"/>
          </w:footnotePr>
          <w:type w:val="continuous"/>
          <w:pgSz w:w="11906" w:h="16838"/>
          <w:pgMar w:top="851" w:right="1417" w:bottom="1417" w:left="1417" w:header="708" w:footer="708" w:gutter="0"/>
          <w:cols w:space="708"/>
          <w:docGrid w:linePitch="360"/>
        </w:sectPr>
      </w:pPr>
    </w:p>
    <w:p w14:paraId="0553DC5A" w14:textId="77777777" w:rsidR="00A3231F" w:rsidRPr="00016D99" w:rsidRDefault="007D2E49" w:rsidP="00D67029">
      <w:pPr>
        <w:spacing w:after="100" w:afterAutospacing="1" w:line="276" w:lineRule="auto"/>
        <w:rPr>
          <w:b/>
          <w:sz w:val="28"/>
          <w:szCs w:val="28"/>
        </w:rPr>
      </w:pPr>
      <w:r>
        <w:rPr>
          <w:b/>
          <w:sz w:val="28"/>
          <w:szCs w:val="28"/>
        </w:rPr>
        <w:lastRenderedPageBreak/>
        <w:t xml:space="preserve">1. </w:t>
      </w:r>
      <w:r w:rsidR="00A3231F" w:rsidRPr="00016D99">
        <w:rPr>
          <w:b/>
          <w:sz w:val="28"/>
          <w:szCs w:val="28"/>
        </w:rPr>
        <w:t>Introduction</w:t>
      </w:r>
    </w:p>
    <w:p w14:paraId="62BEE676" w14:textId="5BBF2BFE" w:rsidR="00B24524" w:rsidRDefault="00B24524" w:rsidP="00B24524">
      <w:pPr>
        <w:autoSpaceDE w:val="0"/>
        <w:autoSpaceDN w:val="0"/>
        <w:adjustRightInd w:val="0"/>
        <w:jc w:val="both"/>
      </w:pPr>
      <w:r w:rsidRPr="00E0107B">
        <w:t>En novembre 2012, le gouvernement français a introduit suite aux recommandations de différents rapports (Trannoy et Simula, 2009, Gallois 2012) un dispositif de crédit d’impôt afin de favoriser la compétitivité et l’emploi des entreprises. Rentré en vigueur le 1</w:t>
      </w:r>
      <w:r w:rsidRPr="00E0107B">
        <w:rPr>
          <w:vertAlign w:val="superscript"/>
        </w:rPr>
        <w:t>er</w:t>
      </w:r>
      <w:r w:rsidRPr="00E0107B">
        <w:t xml:space="preserve"> janvier 2013, le CICE repose sur une imputation de l'impôt sur les sociétés, voire de l’impôt sur le revenu pour les plus petites structures, d’un montant de 4% (6% à partir de 2014) de la masse salariale des salariés rémunérés en deçà de 2,5 fois le Smic. Le champ de ce dispositif inclut l’ensemble des secteurs d’activité à l’exception des administrations publiques ainsi que l’ensemble des entreprises quelle que soit leur forme (entreprise individuelle, société anonyme et une partie des associations, coopératives et des </w:t>
      </w:r>
      <w:r w:rsidRPr="00E0107B">
        <w:rPr>
          <w:sz w:val="21"/>
          <w:szCs w:val="21"/>
        </w:rPr>
        <w:t xml:space="preserve">organismes </w:t>
      </w:r>
      <w:r w:rsidRPr="00E0107B">
        <w:t xml:space="preserve">HLM). En 2013, le montant total de ce dispositif est de 11,2 milliards d’euros et touche plus d’un million d’entreprises ou groupes fiscaux (Rapport du comité de suivi du CICE, 2015). </w:t>
      </w:r>
    </w:p>
    <w:p w14:paraId="509C288A" w14:textId="77777777" w:rsidR="00B24524" w:rsidRPr="00E0107B" w:rsidRDefault="00B24524" w:rsidP="00B24524">
      <w:pPr>
        <w:autoSpaceDE w:val="0"/>
        <w:autoSpaceDN w:val="0"/>
        <w:adjustRightInd w:val="0"/>
        <w:jc w:val="both"/>
      </w:pPr>
    </w:p>
    <w:p w14:paraId="228C14C7" w14:textId="6245D595" w:rsidR="004640CA" w:rsidRDefault="00B24524" w:rsidP="00D81DD8">
      <w:pPr>
        <w:pStyle w:val="Paragraphedeliste"/>
        <w:autoSpaceDE w:val="0"/>
        <w:autoSpaceDN w:val="0"/>
        <w:adjustRightInd w:val="0"/>
        <w:spacing w:after="61"/>
        <w:ind w:left="0"/>
        <w:jc w:val="both"/>
      </w:pPr>
      <w:r w:rsidRPr="00E0107B">
        <w:t xml:space="preserve">L’objectif de ce travail est de proposer une première évaluation </w:t>
      </w:r>
      <w:r w:rsidR="00D81DD8" w:rsidRPr="004640CA">
        <w:rPr>
          <w:i/>
        </w:rPr>
        <w:t>ex post</w:t>
      </w:r>
      <w:r w:rsidR="00D81DD8">
        <w:t xml:space="preserve"> </w:t>
      </w:r>
      <w:r w:rsidRPr="00E0107B">
        <w:t xml:space="preserve">des effets de ce dispositif </w:t>
      </w:r>
      <w:r>
        <w:t xml:space="preserve">sur les entreprises en termes d’emploi, de salaire, de marge et d’investissement. </w:t>
      </w:r>
      <w:r w:rsidR="00D81DD8">
        <w:t>Ce type d’évaluation d’impact</w:t>
      </w:r>
      <w:r w:rsidR="00225972">
        <w:t xml:space="preserve"> </w:t>
      </w:r>
      <w:r w:rsidR="004640CA">
        <w:t>suppose à la fois un accès à de très larges bases de données d’entreprises et une stratégie d’identification adaptée aux modalités de mise en œuvre du crédit d’impôt.</w:t>
      </w:r>
    </w:p>
    <w:p w14:paraId="4250A2C3" w14:textId="77777777" w:rsidR="004640CA" w:rsidRDefault="004640CA" w:rsidP="00D81DD8">
      <w:pPr>
        <w:pStyle w:val="Paragraphedeliste"/>
        <w:autoSpaceDE w:val="0"/>
        <w:autoSpaceDN w:val="0"/>
        <w:adjustRightInd w:val="0"/>
        <w:spacing w:after="61"/>
        <w:ind w:left="0"/>
        <w:jc w:val="both"/>
      </w:pPr>
    </w:p>
    <w:p w14:paraId="7768711C" w14:textId="43DDCF3E" w:rsidR="004640CA" w:rsidRDefault="004640CA" w:rsidP="00D81DD8">
      <w:pPr>
        <w:pStyle w:val="Paragraphedeliste"/>
        <w:autoSpaceDE w:val="0"/>
        <w:autoSpaceDN w:val="0"/>
        <w:adjustRightInd w:val="0"/>
        <w:spacing w:after="61"/>
        <w:ind w:left="0"/>
        <w:jc w:val="both"/>
      </w:pPr>
      <w:r>
        <w:t xml:space="preserve">Nous exploitons un appariement </w:t>
      </w:r>
      <w:r>
        <w:t xml:space="preserve">de </w:t>
      </w:r>
      <w:r>
        <w:t xml:space="preserve">plusieurs </w:t>
      </w:r>
      <w:r>
        <w:t xml:space="preserve">bases </w:t>
      </w:r>
      <w:r>
        <w:t xml:space="preserve">exhaustives </w:t>
      </w:r>
      <w:r>
        <w:t>de données individuelles d’entreprise</w:t>
      </w:r>
      <w:r>
        <w:t xml:space="preserve">s émanant de plusieurs sources administratives : </w:t>
      </w:r>
      <w:r>
        <w:t>la DGFIP, l’ACOSS et l’INSEE</w:t>
      </w:r>
      <w:r>
        <w:t>.</w:t>
      </w:r>
    </w:p>
    <w:p w14:paraId="1C408D6A" w14:textId="7305D887" w:rsidR="00D81DD8" w:rsidRDefault="004640CA" w:rsidP="00D81DD8">
      <w:pPr>
        <w:pStyle w:val="Paragraphedeliste"/>
        <w:autoSpaceDE w:val="0"/>
        <w:autoSpaceDN w:val="0"/>
        <w:adjustRightInd w:val="0"/>
        <w:spacing w:after="61"/>
        <w:ind w:left="0"/>
        <w:jc w:val="both"/>
      </w:pPr>
      <w:r>
        <w:t xml:space="preserve"> </w:t>
      </w:r>
    </w:p>
    <w:p w14:paraId="71D65841" w14:textId="77777777" w:rsidR="00D81DD8" w:rsidRDefault="00D81DD8" w:rsidP="00D81DD8">
      <w:pPr>
        <w:pStyle w:val="Paragraphedeliste"/>
        <w:autoSpaceDE w:val="0"/>
        <w:autoSpaceDN w:val="0"/>
        <w:adjustRightInd w:val="0"/>
        <w:spacing w:after="61"/>
        <w:ind w:left="0"/>
        <w:jc w:val="both"/>
      </w:pPr>
    </w:p>
    <w:p w14:paraId="3288300F" w14:textId="2B9F7D54" w:rsidR="008D27D4" w:rsidRPr="008D27D4" w:rsidRDefault="008D27D4" w:rsidP="008D27D4">
      <w:pPr>
        <w:pStyle w:val="Paragraphedeliste"/>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autoSpaceDE w:val="0"/>
        <w:autoSpaceDN w:val="0"/>
        <w:adjustRightInd w:val="0"/>
        <w:spacing w:after="61"/>
        <w:ind w:left="0"/>
        <w:jc w:val="both"/>
        <w:rPr>
          <w:b/>
        </w:rPr>
      </w:pPr>
      <w:r w:rsidRPr="008D27D4">
        <w:rPr>
          <w:b/>
        </w:rPr>
        <w:t>Ce papier est une version très préliminaire d’un travail qui doit être restitué au comité de suivi des aides publiques aux entreprises, sous l’égide de France Stratégie, pour l’été 2016. Nous proposons de réserver la première présentation publique des résultats de ce</w:t>
      </w:r>
      <w:r>
        <w:rPr>
          <w:b/>
        </w:rPr>
        <w:t>tte étude</w:t>
      </w:r>
      <w:r w:rsidRPr="008D27D4">
        <w:rPr>
          <w:b/>
        </w:rPr>
        <w:t xml:space="preserve"> à la conférence TEPP de La Réunion. </w:t>
      </w:r>
    </w:p>
    <w:p w14:paraId="2DA88EE9" w14:textId="77777777" w:rsidR="008D27D4" w:rsidRDefault="008D27D4" w:rsidP="00D81DD8">
      <w:pPr>
        <w:pStyle w:val="Paragraphedeliste"/>
        <w:autoSpaceDE w:val="0"/>
        <w:autoSpaceDN w:val="0"/>
        <w:adjustRightInd w:val="0"/>
        <w:spacing w:after="61"/>
        <w:ind w:left="0"/>
        <w:jc w:val="both"/>
      </w:pPr>
    </w:p>
    <w:p w14:paraId="367F43DB" w14:textId="77777777" w:rsidR="008D27D4" w:rsidRDefault="008D27D4" w:rsidP="00D81DD8">
      <w:pPr>
        <w:pStyle w:val="Paragraphedeliste"/>
        <w:autoSpaceDE w:val="0"/>
        <w:autoSpaceDN w:val="0"/>
        <w:adjustRightInd w:val="0"/>
        <w:spacing w:after="61"/>
        <w:ind w:left="0"/>
        <w:jc w:val="both"/>
      </w:pPr>
    </w:p>
    <w:p w14:paraId="38D4F442" w14:textId="2C1F93B1" w:rsidR="004640CA" w:rsidRPr="004640CA" w:rsidRDefault="004640CA" w:rsidP="00D81DD8">
      <w:pPr>
        <w:pStyle w:val="Paragraphedeliste"/>
        <w:autoSpaceDE w:val="0"/>
        <w:autoSpaceDN w:val="0"/>
        <w:adjustRightInd w:val="0"/>
        <w:spacing w:after="61"/>
        <w:ind w:left="0"/>
        <w:jc w:val="both"/>
        <w:rPr>
          <w:b/>
          <w:sz w:val="28"/>
          <w:szCs w:val="28"/>
        </w:rPr>
      </w:pPr>
      <w:r w:rsidRPr="004640CA">
        <w:rPr>
          <w:b/>
          <w:sz w:val="28"/>
          <w:szCs w:val="28"/>
        </w:rPr>
        <w:t>2. Difficultés de l’évaluation</w:t>
      </w:r>
    </w:p>
    <w:p w14:paraId="2D5225F3" w14:textId="77777777" w:rsidR="004640CA" w:rsidRPr="005D7419" w:rsidRDefault="004640CA" w:rsidP="004640CA">
      <w:pPr>
        <w:jc w:val="both"/>
      </w:pPr>
      <w:r w:rsidRPr="005D7419">
        <w:t xml:space="preserve">S’il </w:t>
      </w:r>
      <w:r>
        <w:t xml:space="preserve">paraît hors de portée de </w:t>
      </w:r>
      <w:r w:rsidRPr="005D7419">
        <w:t xml:space="preserve">construire un contrefactuel pour un dispositif qui concerne potentiellement la totalité des entreprises, qui plus est avec une assiette salariale très large, d’autres obstacles plus spécifiques doivent être surmontés pour être en mesure de réaliser une évaluation satisfaisante des effets du CICE selon une approche de type évaluation </w:t>
      </w:r>
      <w:r w:rsidRPr="00944E81">
        <w:rPr>
          <w:i/>
        </w:rPr>
        <w:t>ex post</w:t>
      </w:r>
      <w:r w:rsidRPr="005D7419">
        <w:t>.</w:t>
      </w:r>
      <w:r>
        <w:t xml:space="preserve"> </w:t>
      </w:r>
    </w:p>
    <w:p w14:paraId="20AC8338" w14:textId="77777777" w:rsidR="004640CA" w:rsidRDefault="004640CA" w:rsidP="004640CA">
      <w:pPr>
        <w:jc w:val="both"/>
      </w:pPr>
    </w:p>
    <w:p w14:paraId="04506D6D" w14:textId="1C8291F7" w:rsidR="003E1427" w:rsidRPr="003E1427" w:rsidRDefault="003E1427" w:rsidP="004640CA">
      <w:pPr>
        <w:jc w:val="both"/>
        <w:rPr>
          <w:i/>
        </w:rPr>
      </w:pPr>
      <w:r w:rsidRPr="003E1427">
        <w:rPr>
          <w:i/>
        </w:rPr>
        <w:t>Les difficultés liées à la nature du dispositif</w:t>
      </w:r>
    </w:p>
    <w:p w14:paraId="4386A994" w14:textId="77777777" w:rsidR="004640CA" w:rsidRPr="005D7419" w:rsidRDefault="004640CA" w:rsidP="004640CA">
      <w:pPr>
        <w:jc w:val="both"/>
      </w:pPr>
      <w:r w:rsidRPr="005D7419">
        <w:t xml:space="preserve">Tout d’abord, contrairement à une exonération de cotisations sociales, un crédit d’impôt tel que le CICE met en jeu un décalage de temporalité entre la date de validation de la créance calculée sur la masse salariale de l’année </w:t>
      </w:r>
      <w:r w:rsidRPr="00944E81">
        <w:rPr>
          <w:i/>
        </w:rPr>
        <w:t>n-1</w:t>
      </w:r>
      <w:r w:rsidRPr="005D7419">
        <w:t xml:space="preserve">, et sa date de consommation, qui peut être avancée dans le temps (préfinancement) ou plus ou moins retardée (restitution immédiate, imputation sur l’impôt ou report de créance). Le choix de telle ou telle modalité dépend des caractéristiques de l’entreprise et de ses décisions, ce qui introduit de multiples effets de sélection. </w:t>
      </w:r>
    </w:p>
    <w:p w14:paraId="1532CF7E" w14:textId="77777777" w:rsidR="004640CA" w:rsidRDefault="004640CA" w:rsidP="004640CA">
      <w:pPr>
        <w:jc w:val="both"/>
      </w:pPr>
    </w:p>
    <w:p w14:paraId="2024657D" w14:textId="77777777" w:rsidR="004640CA" w:rsidRPr="005D7419" w:rsidRDefault="004640CA" w:rsidP="004640CA">
      <w:pPr>
        <w:jc w:val="both"/>
      </w:pPr>
      <w:r w:rsidRPr="005D7419">
        <w:t>Ensuite</w:t>
      </w:r>
      <w:r>
        <w:t>,</w:t>
      </w:r>
      <w:r w:rsidRPr="005D7419">
        <w:t xml:space="preserve"> 2013 est la première année de mise en œuvre d’un dispositif qui a connu une montée en puissance progressive, avec une connaissance imparfaite par les entreprises, dans un contexte d’incertitudes sur d’autres dispositifs avec l’annonce du pacte de responsabilité. Ce contexte particulier rend difficile le fait d’isoler l’effet spécifique du CICE en 2013, s’agissant </w:t>
      </w:r>
      <w:r w:rsidRPr="005D7419">
        <w:lastRenderedPageBreak/>
        <w:t>d’un dispositif qui « n’est devenu une réalité fiscale qu’à partir d’avril 2014 » (deuxième rapport du comité de suivi).</w:t>
      </w:r>
    </w:p>
    <w:p w14:paraId="594EC793" w14:textId="77777777" w:rsidR="004640CA" w:rsidRDefault="004640CA" w:rsidP="004640CA">
      <w:pPr>
        <w:jc w:val="both"/>
      </w:pPr>
    </w:p>
    <w:p w14:paraId="2F563445" w14:textId="77777777" w:rsidR="004640CA" w:rsidRPr="005D7419" w:rsidRDefault="004640CA" w:rsidP="004640CA">
      <w:pPr>
        <w:jc w:val="both"/>
      </w:pPr>
      <w:r w:rsidRPr="005D7419">
        <w:t xml:space="preserve">De plus, une fois la créance recouverte, les entreprises sont libres de l’utiliser à toutes les fins qu’elles jugent utiles, sans qu’aucun appareillage de suivi ne permette de déterminer l’usage qui en est effectivement fait par les entreprises. Les rapports du comité de suivi confirment que la chronique de la consommation de créance est complexe et variable selon les entreprises. </w:t>
      </w:r>
    </w:p>
    <w:p w14:paraId="3E4B3216" w14:textId="77777777" w:rsidR="004640CA" w:rsidRDefault="004640CA" w:rsidP="004640CA">
      <w:pPr>
        <w:jc w:val="both"/>
      </w:pPr>
    </w:p>
    <w:p w14:paraId="191FF5F6" w14:textId="20AE1A25" w:rsidR="004640CA" w:rsidRPr="005D7419" w:rsidRDefault="004640CA" w:rsidP="004640CA">
      <w:pPr>
        <w:jc w:val="both"/>
      </w:pPr>
      <w:r w:rsidRPr="005D7419">
        <w:t>Enfin, l’évaluation requiert l’accès à des indicateurs calculés sur des bases de données au niveau des entreprises (plutôt qu’à celui de leurs établissements)</w:t>
      </w:r>
      <w:r w:rsidR="003E1427">
        <w:t xml:space="preserve">, ce qui soulève des questions logistiques, juridiques et pratiques d’accès aux données fiscales et comptables des entreprises. </w:t>
      </w:r>
    </w:p>
    <w:p w14:paraId="61807CDA" w14:textId="77777777" w:rsidR="004640CA" w:rsidRDefault="004640CA" w:rsidP="00D81DD8">
      <w:pPr>
        <w:pStyle w:val="Paragraphedeliste"/>
        <w:autoSpaceDE w:val="0"/>
        <w:autoSpaceDN w:val="0"/>
        <w:adjustRightInd w:val="0"/>
        <w:spacing w:after="61"/>
        <w:ind w:left="0"/>
        <w:jc w:val="both"/>
      </w:pPr>
    </w:p>
    <w:p w14:paraId="0161CE3E" w14:textId="32CF25BB" w:rsidR="004640CA" w:rsidRPr="003E1427" w:rsidRDefault="003E1427" w:rsidP="00D81DD8">
      <w:pPr>
        <w:pStyle w:val="Paragraphedeliste"/>
        <w:autoSpaceDE w:val="0"/>
        <w:autoSpaceDN w:val="0"/>
        <w:adjustRightInd w:val="0"/>
        <w:spacing w:after="61"/>
        <w:ind w:left="0"/>
        <w:jc w:val="both"/>
        <w:rPr>
          <w:i/>
        </w:rPr>
      </w:pPr>
      <w:r w:rsidRPr="003E1427">
        <w:rPr>
          <w:i/>
        </w:rPr>
        <w:t>Les difficultés liées à une démarche d’évaluation d’impact</w:t>
      </w:r>
    </w:p>
    <w:p w14:paraId="0C7E37A6" w14:textId="78D8E4AD" w:rsidR="003E1427" w:rsidRDefault="003E1427" w:rsidP="003E1427">
      <w:pPr>
        <w:jc w:val="both"/>
      </w:pPr>
      <w:r w:rsidRPr="005E1B21">
        <w:t>Comme le souligne le Comité de suivi « </w:t>
      </w:r>
      <w:r w:rsidRPr="005E1B21">
        <w:rPr>
          <w:i/>
        </w:rPr>
        <w:t>Toute analyse du CICE et de ses effets nécessite prudence et humilité</w:t>
      </w:r>
      <w:r w:rsidRPr="005E1B21">
        <w:t xml:space="preserve"> » (Comité de suivi du CICE, 2014) puisqu’il s’agit de prendre en compte plusieurs spécificités de ce dispositif. L’enjeu de </w:t>
      </w:r>
      <w:r>
        <w:t xml:space="preserve">notre travail </w:t>
      </w:r>
      <w:r w:rsidRPr="005E1B21">
        <w:t xml:space="preserve">est d’exposer ces spécificités et d’apporter des éléments de réponse. </w:t>
      </w:r>
    </w:p>
    <w:p w14:paraId="33C9B0CB" w14:textId="77777777" w:rsidR="003E1427" w:rsidRPr="005E1B21" w:rsidRDefault="003E1427" w:rsidP="003E1427">
      <w:pPr>
        <w:jc w:val="both"/>
      </w:pPr>
    </w:p>
    <w:p w14:paraId="612988C9" w14:textId="77777777" w:rsidR="003E1427" w:rsidRPr="005E1B21" w:rsidRDefault="003E1427" w:rsidP="003E1427">
      <w:pPr>
        <w:jc w:val="both"/>
      </w:pPr>
      <w:r w:rsidRPr="005E1B21">
        <w:t xml:space="preserve">Tout d’abord le CICE n’a pas été mis en place dans un cadre expérimental avec assignation aléatoire. De fait nous ne disposons pas d’un groupe d’entreprises traitées et d’un groupe contrefactuel ayant des caractéristiques similaires. L’évaluation proposée repose sur des données non expérimentales où il est nécessaire de reconstituer </w:t>
      </w:r>
      <w:r w:rsidRPr="003E1427">
        <w:rPr>
          <w:i/>
        </w:rPr>
        <w:t>a posteriori</w:t>
      </w:r>
      <w:r w:rsidRPr="005E1B21">
        <w:t xml:space="preserve"> les conditions d’une expérience en construisant des entreprises traitées et non-entreprises en tentant de limiter les effets de sélection sur variables observables et inobservables (</w:t>
      </w:r>
      <w:proofErr w:type="spellStart"/>
      <w:r w:rsidRPr="005E1B21">
        <w:t>Heckman</w:t>
      </w:r>
      <w:proofErr w:type="spellEnd"/>
      <w:r w:rsidRPr="005E1B21">
        <w:t xml:space="preserve"> and </w:t>
      </w:r>
      <w:proofErr w:type="gramStart"/>
      <w:r w:rsidRPr="005E1B21">
        <w:t>al.,</w:t>
      </w:r>
      <w:proofErr w:type="gramEnd"/>
      <w:r w:rsidRPr="005E1B21">
        <w:t xml:space="preserve"> 1999). La méthode du score de propension (</w:t>
      </w:r>
      <w:proofErr w:type="spellStart"/>
      <w:r w:rsidRPr="005E1B21">
        <w:t>Rosenbaum</w:t>
      </w:r>
      <w:proofErr w:type="spellEnd"/>
      <w:r w:rsidRPr="005E1B21">
        <w:t xml:space="preserve"> et Rubin, 1983) sera mobilisée</w:t>
      </w:r>
      <w:r w:rsidRPr="005E1B21">
        <w:rPr>
          <w:rStyle w:val="Appelnotedebasdep"/>
        </w:rPr>
        <w:footnoteReference w:id="4"/>
      </w:r>
      <w:r w:rsidRPr="005E1B21">
        <w:t>. Cette méthode implique l’hypothèse d’indépendance conditionnelle (</w:t>
      </w:r>
      <w:r w:rsidRPr="003E1427">
        <w:rPr>
          <w:i/>
        </w:rPr>
        <w:t xml:space="preserve">CIA : </w:t>
      </w:r>
      <w:proofErr w:type="spellStart"/>
      <w:r w:rsidRPr="003E1427">
        <w:rPr>
          <w:i/>
        </w:rPr>
        <w:t>conditional</w:t>
      </w:r>
      <w:proofErr w:type="spellEnd"/>
      <w:r w:rsidRPr="003E1427">
        <w:rPr>
          <w:i/>
        </w:rPr>
        <w:t xml:space="preserve"> </w:t>
      </w:r>
      <w:proofErr w:type="spellStart"/>
      <w:r w:rsidRPr="003E1427">
        <w:rPr>
          <w:i/>
        </w:rPr>
        <w:t>independence</w:t>
      </w:r>
      <w:proofErr w:type="spellEnd"/>
      <w:r w:rsidRPr="003E1427">
        <w:rPr>
          <w:i/>
        </w:rPr>
        <w:t xml:space="preserve"> </w:t>
      </w:r>
      <w:proofErr w:type="spellStart"/>
      <w:r w:rsidRPr="003E1427">
        <w:rPr>
          <w:i/>
        </w:rPr>
        <w:t>assumption</w:t>
      </w:r>
      <w:proofErr w:type="spellEnd"/>
      <w:r w:rsidRPr="005E1B21">
        <w:t xml:space="preserve">) c’est à dire que l’ensemble des différences entre les entreprises traitées et non traitées sont capturées par les variables observables. </w:t>
      </w:r>
    </w:p>
    <w:p w14:paraId="3D4F263C" w14:textId="77777777" w:rsidR="003E1427" w:rsidRDefault="003E1427" w:rsidP="003E1427">
      <w:pPr>
        <w:jc w:val="both"/>
      </w:pPr>
    </w:p>
    <w:p w14:paraId="11716AAD" w14:textId="77777777" w:rsidR="003E1427" w:rsidRPr="005E1B21" w:rsidRDefault="003E1427" w:rsidP="003E1427">
      <w:pPr>
        <w:jc w:val="both"/>
      </w:pPr>
      <w:r w:rsidRPr="005E1B21">
        <w:t>Compte tenu de l’assiette du CICE, la quasi-totalité des entreprises dont le statut fiscal relève du champ du CICE seront concernées. Les entreprises totalement exclues du dispositif sont donc rares et bien spécifiques. Une méthode largement mobilisée pour contourner ce problème est de prendre en considération des différences dans le dosage du traitement (</w:t>
      </w:r>
      <w:proofErr w:type="spellStart"/>
      <w:r w:rsidRPr="005E1B21">
        <w:t>Florens</w:t>
      </w:r>
      <w:proofErr w:type="spellEnd"/>
      <w:r w:rsidRPr="005E1B21">
        <w:t xml:space="preserve"> et al, 2008) puis d’appliquer une méthode de type multitraitement sur variable discrète ou continue (</w:t>
      </w:r>
      <w:proofErr w:type="spellStart"/>
      <w:r w:rsidRPr="005E1B21">
        <w:t>Frolich</w:t>
      </w:r>
      <w:proofErr w:type="spellEnd"/>
      <w:r w:rsidRPr="005E1B21">
        <w:t xml:space="preserve">, 2004 ; Hirano and </w:t>
      </w:r>
      <w:proofErr w:type="spellStart"/>
      <w:r w:rsidRPr="005E1B21">
        <w:t>Imbens</w:t>
      </w:r>
      <w:proofErr w:type="spellEnd"/>
      <w:r w:rsidRPr="005E1B21">
        <w:t xml:space="preserve">, 2004). </w:t>
      </w:r>
    </w:p>
    <w:p w14:paraId="1E7AD1FB" w14:textId="77777777" w:rsidR="003E1427" w:rsidRDefault="003E1427" w:rsidP="003E1427">
      <w:pPr>
        <w:jc w:val="both"/>
      </w:pPr>
    </w:p>
    <w:p w14:paraId="471638A7" w14:textId="759688E3" w:rsidR="003E1427" w:rsidRPr="005E1B21" w:rsidRDefault="003E1427" w:rsidP="003E1427">
      <w:pPr>
        <w:jc w:val="both"/>
      </w:pPr>
      <w:r w:rsidRPr="005E1B21">
        <w:t xml:space="preserve">Un point largement sous-estimé dans la littérature sur l’évaluation des politiques publiques est </w:t>
      </w:r>
      <w:proofErr w:type="gramStart"/>
      <w:r w:rsidRPr="005E1B21">
        <w:t>l’hypothèse</w:t>
      </w:r>
      <w:proofErr w:type="gramEnd"/>
      <w:r w:rsidRPr="005E1B21">
        <w:t xml:space="preserve"> d’absence d’interaction entre les traités et les traités</w:t>
      </w:r>
      <w:r w:rsidRPr="005E1B21">
        <w:rPr>
          <w:rStyle w:val="Appelnotedebasdep"/>
        </w:rPr>
        <w:footnoteReference w:id="5"/>
      </w:r>
      <w:r w:rsidRPr="005E1B21">
        <w:t xml:space="preserve">. Cette </w:t>
      </w:r>
      <w:proofErr w:type="gramStart"/>
      <w:r w:rsidRPr="005E1B21">
        <w:t>condition</w:t>
      </w:r>
      <w:proofErr w:type="gramEnd"/>
      <w:r w:rsidRPr="005E1B21">
        <w:t xml:space="preserve"> dite SUTVA (Stable unit </w:t>
      </w:r>
      <w:proofErr w:type="spellStart"/>
      <w:r w:rsidRPr="005E1B21">
        <w:t>treatment</w:t>
      </w:r>
      <w:proofErr w:type="spellEnd"/>
      <w:r w:rsidRPr="005E1B21">
        <w:t xml:space="preserve"> value </w:t>
      </w:r>
      <w:proofErr w:type="spellStart"/>
      <w:r w:rsidRPr="005E1B21">
        <w:t>assumption</w:t>
      </w:r>
      <w:proofErr w:type="spellEnd"/>
      <w:r w:rsidRPr="005E1B21">
        <w:t xml:space="preserve">) mise en évidence par Rubin (1978) implique que l’attribution du traitement à une entreprise n’affecte pas l’effet du traitement d’une entreprise se trouvant dans son entourage. Dans le cadre des dispositifs fiscaux ou d’exonérations de cotisations sociales les effets d’interdépendances entre entreprises et secteurs ont été largement documentés par la littérature macroéconomiques (Malinvaud, 2002) et permet de comprendre les écarts observés entre les chiffrages issus de maquettes </w:t>
      </w:r>
      <w:r w:rsidRPr="005E1B21">
        <w:lastRenderedPageBreak/>
        <w:t>macro-économiques et ceux obtenus à l’aide de données micro-économétriques. En effet si les entreprises répercutent le CICE sur leur prix on risque d’observer au moins deux effets : i) un effet sur la demande qui stimulera l'activité d’autres secteurs ii) un effet de concurrence une entreprise gagnera des parts de marché au détriment des autres. L’objectif n’est pas de mesurer à l’instar des travaux réalisés à partir des politiques d’exonérations de cotisations sociales les in</w:t>
      </w:r>
      <w:r>
        <w:t>terdépendances sectorielles (</w:t>
      </w:r>
      <w:proofErr w:type="spellStart"/>
      <w:r>
        <w:t>Gaf</w:t>
      </w:r>
      <w:r w:rsidRPr="005E1B21">
        <w:t>si</w:t>
      </w:r>
      <w:proofErr w:type="spellEnd"/>
      <w:r w:rsidRPr="005E1B21">
        <w:t xml:space="preserve"> </w:t>
      </w:r>
      <w:r w:rsidRPr="003E1427">
        <w:rPr>
          <w:i/>
        </w:rPr>
        <w:t>et al</w:t>
      </w:r>
      <w:r w:rsidRPr="005E1B21">
        <w:t xml:space="preserve">, 2004 ; Jamet, 2005) mais de préciser si ces effets sont susceptibles de jouer. Pour ce faire une méthode à la </w:t>
      </w:r>
      <w:proofErr w:type="spellStart"/>
      <w:r w:rsidRPr="005E1B21">
        <w:t>Cerqua</w:t>
      </w:r>
      <w:proofErr w:type="spellEnd"/>
      <w:r w:rsidRPr="005E1B21">
        <w:t xml:space="preserve"> and </w:t>
      </w:r>
      <w:proofErr w:type="spellStart"/>
      <w:r w:rsidRPr="005E1B21">
        <w:t>Pellegrini</w:t>
      </w:r>
      <w:proofErr w:type="spellEnd"/>
      <w:r w:rsidRPr="005E1B21">
        <w:t xml:space="preserve"> (2014) sera mobilisée. </w:t>
      </w:r>
    </w:p>
    <w:p w14:paraId="7FCB6691" w14:textId="77777777" w:rsidR="003E1427" w:rsidRDefault="003E1427" w:rsidP="003E1427">
      <w:pPr>
        <w:jc w:val="both"/>
      </w:pPr>
    </w:p>
    <w:p w14:paraId="3A883549" w14:textId="77777777" w:rsidR="003E1427" w:rsidRPr="005E1B21" w:rsidRDefault="003E1427" w:rsidP="003E1427">
      <w:pPr>
        <w:jc w:val="both"/>
      </w:pPr>
      <w:r w:rsidRPr="005E1B21">
        <w:t>La particularité du CICE est d’être un dispositif multi-objectif. Le législateur attend que les entreprises utilisent cette aide fiscale en faveur des salariés en augmentant le volume d’emploi et/ou les salaires, en faveur de leur marge et de l’investissement ou enfin en réduisant leur prix. L’effet d</w:t>
      </w:r>
      <w:r>
        <w:t>u CICE risque donc d’être diffus</w:t>
      </w:r>
      <w:r w:rsidRPr="005E1B21">
        <w:t xml:space="preserve">. Une solution avancée par </w:t>
      </w:r>
      <w:proofErr w:type="spellStart"/>
      <w:r w:rsidRPr="005E1B21">
        <w:t>Espsoti</w:t>
      </w:r>
      <w:proofErr w:type="spellEnd"/>
      <w:r w:rsidRPr="005E1B21">
        <w:t xml:space="preserve"> (2014) est de raisonner à l’aide d’un vecteur de variables au lieu d’utiliser un </w:t>
      </w:r>
      <w:r>
        <w:t xml:space="preserve">simple </w:t>
      </w:r>
      <w:r w:rsidRPr="005E1B21">
        <w:t xml:space="preserve">scalaire. Toutefois afin de tenir compte de la covariance entre les variables </w:t>
      </w:r>
      <w:r>
        <w:t xml:space="preserve">d’intérêt </w:t>
      </w:r>
      <w:r w:rsidRPr="005E1B21">
        <w:t xml:space="preserve">une métrique de </w:t>
      </w:r>
      <w:proofErr w:type="spellStart"/>
      <w:r w:rsidRPr="005E1B21">
        <w:t>Mahalanobis</w:t>
      </w:r>
      <w:proofErr w:type="spellEnd"/>
      <w:r w:rsidRPr="005E1B21">
        <w:t xml:space="preserve"> sera utilisée.  </w:t>
      </w:r>
    </w:p>
    <w:p w14:paraId="5FCBC4C0" w14:textId="77777777" w:rsidR="003E1427" w:rsidRDefault="003E1427" w:rsidP="00D81DD8">
      <w:pPr>
        <w:pStyle w:val="Paragraphedeliste"/>
        <w:autoSpaceDE w:val="0"/>
        <w:autoSpaceDN w:val="0"/>
        <w:adjustRightInd w:val="0"/>
        <w:spacing w:after="61"/>
        <w:ind w:left="0"/>
        <w:jc w:val="both"/>
      </w:pPr>
    </w:p>
    <w:p w14:paraId="2747E739" w14:textId="77777777" w:rsidR="003E1427" w:rsidRDefault="003E1427" w:rsidP="00D81DD8">
      <w:pPr>
        <w:pStyle w:val="Paragraphedeliste"/>
        <w:autoSpaceDE w:val="0"/>
        <w:autoSpaceDN w:val="0"/>
        <w:adjustRightInd w:val="0"/>
        <w:spacing w:after="61"/>
        <w:ind w:left="0"/>
        <w:jc w:val="both"/>
      </w:pPr>
    </w:p>
    <w:p w14:paraId="2031CD08" w14:textId="3A634629" w:rsidR="004640CA" w:rsidRPr="004640CA" w:rsidRDefault="003E1427" w:rsidP="00D81DD8">
      <w:pPr>
        <w:pStyle w:val="Paragraphedeliste"/>
        <w:autoSpaceDE w:val="0"/>
        <w:autoSpaceDN w:val="0"/>
        <w:adjustRightInd w:val="0"/>
        <w:spacing w:after="61"/>
        <w:ind w:left="0"/>
        <w:jc w:val="both"/>
        <w:rPr>
          <w:b/>
          <w:sz w:val="28"/>
          <w:szCs w:val="28"/>
        </w:rPr>
      </w:pPr>
      <w:r>
        <w:rPr>
          <w:b/>
          <w:sz w:val="28"/>
          <w:szCs w:val="28"/>
        </w:rPr>
        <w:t>3</w:t>
      </w:r>
      <w:r w:rsidR="004640CA" w:rsidRPr="004640CA">
        <w:rPr>
          <w:b/>
          <w:sz w:val="28"/>
          <w:szCs w:val="28"/>
        </w:rPr>
        <w:t>. Bases de données</w:t>
      </w:r>
    </w:p>
    <w:p w14:paraId="2C53104D" w14:textId="407E1B4C" w:rsidR="00D81DD8" w:rsidRDefault="003E1427" w:rsidP="00D81DD8">
      <w:pPr>
        <w:pStyle w:val="Paragraphedeliste"/>
        <w:autoSpaceDE w:val="0"/>
        <w:autoSpaceDN w:val="0"/>
        <w:adjustRightInd w:val="0"/>
        <w:spacing w:after="61"/>
        <w:ind w:left="0"/>
        <w:jc w:val="both"/>
        <w:rPr>
          <w:rFonts w:cs="Arial"/>
          <w:color w:val="000000"/>
        </w:rPr>
      </w:pPr>
      <w:r>
        <w:t>Pour mener à bien cette étude, n</w:t>
      </w:r>
      <w:r w:rsidR="004640CA">
        <w:t xml:space="preserve">ous avons constitué un échantillon à partir de l’appariement de quatre ensembles de sources de données individuelles d’entreprises, </w:t>
      </w:r>
      <w:r w:rsidR="00B24524">
        <w:rPr>
          <w:rFonts w:cs="Arial"/>
          <w:bCs/>
          <w:color w:val="000000"/>
        </w:rPr>
        <w:t>portant sur la période 2</w:t>
      </w:r>
      <w:r w:rsidR="00B24524" w:rsidRPr="003E1427">
        <w:rPr>
          <w:rFonts w:cs="Arial"/>
          <w:b/>
          <w:bCs/>
          <w:color w:val="000000"/>
        </w:rPr>
        <w:t>010 à 2014</w:t>
      </w:r>
      <w:r w:rsidR="00D81DD8" w:rsidRPr="003E1427">
        <w:rPr>
          <w:rFonts w:cs="Arial"/>
          <w:b/>
          <w:bCs/>
          <w:color w:val="000000"/>
        </w:rPr>
        <w:t>. La première source est constituée d</w:t>
      </w:r>
      <w:r w:rsidR="00B24524" w:rsidRPr="003E1427">
        <w:rPr>
          <w:rFonts w:cs="Arial"/>
          <w:b/>
          <w:bCs/>
          <w:color w:val="000000"/>
        </w:rPr>
        <w:t xml:space="preserve">es fichiers postes </w:t>
      </w:r>
      <w:r w:rsidR="00B24524" w:rsidRPr="003E1427">
        <w:rPr>
          <w:rFonts w:cs="Arial"/>
          <w:b/>
          <w:color w:val="000000"/>
        </w:rPr>
        <w:t>(exhaustif) des Déclarations annuelles de données sociales (DADS) constituées par l’INSEE qui c</w:t>
      </w:r>
      <w:r w:rsidR="00B24524">
        <w:rPr>
          <w:rFonts w:cs="Arial"/>
          <w:color w:val="000000"/>
        </w:rPr>
        <w:t>ontiennent d</w:t>
      </w:r>
      <w:r w:rsidR="00B24524" w:rsidRPr="00300CAD">
        <w:rPr>
          <w:rFonts w:cs="Arial"/>
          <w:color w:val="000000"/>
        </w:rPr>
        <w:t>es informations</w:t>
      </w:r>
      <w:r w:rsidR="00B24524">
        <w:rPr>
          <w:rFonts w:cs="Arial"/>
          <w:color w:val="000000"/>
        </w:rPr>
        <w:t xml:space="preserve"> précises sur les salariés : leur genre, âge, statut, catégorie socio-professionnelle, salaire et temps de travail</w:t>
      </w:r>
      <w:r w:rsidR="00B24524" w:rsidRPr="00300CAD">
        <w:rPr>
          <w:rFonts w:cs="Arial"/>
          <w:color w:val="000000"/>
        </w:rPr>
        <w:t xml:space="preserve">. </w:t>
      </w:r>
    </w:p>
    <w:p w14:paraId="07906F38" w14:textId="77777777" w:rsidR="00D81DD8" w:rsidRDefault="00D81DD8" w:rsidP="00D81DD8">
      <w:pPr>
        <w:pStyle w:val="Paragraphedeliste"/>
        <w:autoSpaceDE w:val="0"/>
        <w:autoSpaceDN w:val="0"/>
        <w:adjustRightInd w:val="0"/>
        <w:spacing w:after="61"/>
        <w:ind w:left="0"/>
        <w:jc w:val="both"/>
        <w:rPr>
          <w:rFonts w:cs="Arial"/>
          <w:color w:val="000000"/>
        </w:rPr>
      </w:pPr>
    </w:p>
    <w:p w14:paraId="616F0F6A" w14:textId="77777777" w:rsidR="00D81DD8" w:rsidRDefault="00D81DD8" w:rsidP="00D81DD8">
      <w:pPr>
        <w:pStyle w:val="Paragraphedeliste"/>
        <w:autoSpaceDE w:val="0"/>
        <w:autoSpaceDN w:val="0"/>
        <w:adjustRightInd w:val="0"/>
        <w:spacing w:after="61"/>
        <w:ind w:left="0"/>
        <w:jc w:val="both"/>
        <w:rPr>
          <w:rFonts w:cs="Arial"/>
          <w:bCs/>
          <w:color w:val="000000"/>
        </w:rPr>
      </w:pPr>
      <w:r>
        <w:rPr>
          <w:rFonts w:cs="Arial"/>
          <w:color w:val="000000"/>
        </w:rPr>
        <w:t>La deuxième source est constituée d</w:t>
      </w:r>
      <w:r>
        <w:rPr>
          <w:rFonts w:cs="Arial"/>
          <w:bCs/>
          <w:color w:val="000000"/>
        </w:rPr>
        <w:t xml:space="preserve">es informations issues des Bordereaux récapitulatif de cotisations (BRC) traitées par </w:t>
      </w:r>
      <w:r w:rsidRPr="00300CAD">
        <w:rPr>
          <w:rFonts w:cs="Arial"/>
          <w:bCs/>
          <w:color w:val="000000"/>
        </w:rPr>
        <w:t>l’ACOSS</w:t>
      </w:r>
      <w:r>
        <w:rPr>
          <w:rFonts w:cs="Arial"/>
          <w:bCs/>
          <w:color w:val="000000"/>
        </w:rPr>
        <w:t xml:space="preserve">, qui permettent </w:t>
      </w:r>
      <w:r>
        <w:rPr>
          <w:rFonts w:cs="Arial"/>
          <w:bCs/>
          <w:color w:val="000000"/>
        </w:rPr>
        <w:t xml:space="preserve">de disposer de </w:t>
      </w:r>
      <w:r w:rsidRPr="00300CAD">
        <w:rPr>
          <w:rFonts w:cs="Arial"/>
          <w:bCs/>
          <w:color w:val="000000"/>
        </w:rPr>
        <w:t xml:space="preserve">la masse salariale totale </w:t>
      </w:r>
      <w:r>
        <w:rPr>
          <w:rFonts w:cs="Arial"/>
          <w:bCs/>
          <w:color w:val="000000"/>
        </w:rPr>
        <w:t xml:space="preserve">des entreprises, de l’assiette du CICE, </w:t>
      </w:r>
      <w:r>
        <w:rPr>
          <w:rFonts w:cs="Arial"/>
          <w:bCs/>
          <w:color w:val="000000"/>
        </w:rPr>
        <w:t xml:space="preserve">correspondant à </w:t>
      </w:r>
      <w:r>
        <w:rPr>
          <w:rFonts w:cs="Arial"/>
          <w:bCs/>
          <w:color w:val="000000"/>
        </w:rPr>
        <w:t>la masse salariale en</w:t>
      </w:r>
      <w:r w:rsidRPr="00300CAD">
        <w:rPr>
          <w:rFonts w:cs="Arial"/>
          <w:bCs/>
          <w:color w:val="000000"/>
        </w:rPr>
        <w:t>-de</w:t>
      </w:r>
      <w:r>
        <w:rPr>
          <w:rFonts w:cs="Arial"/>
          <w:bCs/>
          <w:color w:val="000000"/>
        </w:rPr>
        <w:t>çà</w:t>
      </w:r>
      <w:r w:rsidRPr="00300CAD">
        <w:rPr>
          <w:rFonts w:cs="Arial"/>
          <w:bCs/>
          <w:color w:val="000000"/>
        </w:rPr>
        <w:t xml:space="preserve"> du seuil de 2,5 Smic, </w:t>
      </w:r>
      <w:r>
        <w:rPr>
          <w:rFonts w:cs="Arial"/>
          <w:bCs/>
          <w:color w:val="000000"/>
        </w:rPr>
        <w:t xml:space="preserve">et du </w:t>
      </w:r>
      <w:r w:rsidRPr="00300CAD">
        <w:rPr>
          <w:rFonts w:cs="Arial"/>
          <w:bCs/>
          <w:color w:val="000000"/>
        </w:rPr>
        <w:t xml:space="preserve">montant des </w:t>
      </w:r>
      <w:r>
        <w:rPr>
          <w:rFonts w:cs="Arial"/>
          <w:bCs/>
          <w:color w:val="000000"/>
        </w:rPr>
        <w:t>exonérations de cotisations patronales perçues par ailleurs (exonérations générales et spécifiques)</w:t>
      </w:r>
      <w:r>
        <w:rPr>
          <w:rFonts w:cs="Arial"/>
          <w:bCs/>
          <w:color w:val="000000"/>
        </w:rPr>
        <w:t xml:space="preserve">. </w:t>
      </w:r>
    </w:p>
    <w:p w14:paraId="6CC00110" w14:textId="77777777" w:rsidR="00D81DD8" w:rsidRDefault="00D81DD8" w:rsidP="00D81DD8">
      <w:pPr>
        <w:pStyle w:val="Paragraphedeliste"/>
        <w:autoSpaceDE w:val="0"/>
        <w:autoSpaceDN w:val="0"/>
        <w:adjustRightInd w:val="0"/>
        <w:spacing w:after="61"/>
        <w:ind w:left="0"/>
        <w:jc w:val="both"/>
        <w:rPr>
          <w:rFonts w:cs="Arial"/>
          <w:bCs/>
          <w:color w:val="000000"/>
        </w:rPr>
      </w:pPr>
    </w:p>
    <w:p w14:paraId="51A21A4E" w14:textId="5B09A660" w:rsidR="00B24524" w:rsidRPr="00300CAD" w:rsidRDefault="00D81DD8" w:rsidP="00D81DD8">
      <w:pPr>
        <w:pStyle w:val="Paragraphedeliste"/>
        <w:autoSpaceDE w:val="0"/>
        <w:autoSpaceDN w:val="0"/>
        <w:adjustRightInd w:val="0"/>
        <w:spacing w:after="61"/>
        <w:ind w:left="0"/>
        <w:jc w:val="both"/>
        <w:rPr>
          <w:rFonts w:cs="Arial"/>
          <w:bCs/>
          <w:color w:val="000000"/>
        </w:rPr>
      </w:pPr>
      <w:r>
        <w:rPr>
          <w:rFonts w:cs="Arial"/>
          <w:bCs/>
          <w:color w:val="000000"/>
        </w:rPr>
        <w:t xml:space="preserve">Une troisième source de données Cette source est Elle est complétée par </w:t>
      </w:r>
      <w:r>
        <w:rPr>
          <w:rFonts w:cs="Arial"/>
          <w:color w:val="000000"/>
        </w:rPr>
        <w:t>l</w:t>
      </w:r>
      <w:r w:rsidR="00B24524" w:rsidRPr="00300CAD">
        <w:rPr>
          <w:rFonts w:cs="Arial"/>
          <w:bCs/>
          <w:color w:val="000000"/>
        </w:rPr>
        <w:t xml:space="preserve">es </w:t>
      </w:r>
      <w:r w:rsidR="00B24524">
        <w:rPr>
          <w:rFonts w:cs="Arial"/>
          <w:bCs/>
          <w:color w:val="000000"/>
        </w:rPr>
        <w:t xml:space="preserve">fichiers fiscaux de la DGFIP </w:t>
      </w:r>
      <w:r>
        <w:rPr>
          <w:rFonts w:cs="Arial"/>
          <w:bCs/>
          <w:color w:val="000000"/>
        </w:rPr>
        <w:t xml:space="preserve">qui portent </w:t>
      </w:r>
      <w:r w:rsidR="00B24524">
        <w:rPr>
          <w:rFonts w:cs="Arial"/>
          <w:bCs/>
          <w:color w:val="000000"/>
        </w:rPr>
        <w:t xml:space="preserve">sur les montants du crédit d’impôt effectivement octroyés aux entreprises (Base mouvement de créances). </w:t>
      </w:r>
    </w:p>
    <w:p w14:paraId="4B076F2A" w14:textId="77777777" w:rsidR="00D81DD8" w:rsidRDefault="00D81DD8" w:rsidP="00B24524">
      <w:pPr>
        <w:jc w:val="both"/>
        <w:rPr>
          <w:rFonts w:cs="Arial"/>
          <w:color w:val="000000"/>
        </w:rPr>
      </w:pPr>
    </w:p>
    <w:p w14:paraId="52D7F4AE" w14:textId="77777777" w:rsidR="00B24524" w:rsidRPr="00300CAD" w:rsidRDefault="00B24524" w:rsidP="00B24524">
      <w:pPr>
        <w:jc w:val="both"/>
        <w:rPr>
          <w:rFonts w:cs="Arial"/>
          <w:color w:val="000000"/>
        </w:rPr>
      </w:pPr>
      <w:r>
        <w:rPr>
          <w:rFonts w:cs="Arial"/>
          <w:color w:val="000000"/>
        </w:rPr>
        <w:t xml:space="preserve">Enfin pour caractériser les entreprises, leur activité et leur situation financière on utilise les données des fichiers du volet FARE de l’ESANE gérés par l’INSEE s’appuyant sur les </w:t>
      </w:r>
      <w:r w:rsidRPr="00300CAD">
        <w:rPr>
          <w:rFonts w:cs="Arial"/>
          <w:color w:val="000000"/>
        </w:rPr>
        <w:t>données d</w:t>
      </w:r>
      <w:r>
        <w:rPr>
          <w:rFonts w:cs="Arial"/>
          <w:color w:val="000000"/>
        </w:rPr>
        <w:t>u bilan et du</w:t>
      </w:r>
      <w:r w:rsidRPr="00300CAD">
        <w:rPr>
          <w:rFonts w:cs="Arial"/>
          <w:color w:val="000000"/>
        </w:rPr>
        <w:t xml:space="preserve"> compte de résultat des entreprises (valeur ajoutée, excédent brut d'exploitation, FBCF, immobilisations, effectifs salariés, masse salariale brute et cotisations patronales</w:t>
      </w:r>
      <w:r>
        <w:rPr>
          <w:rFonts w:cs="Arial"/>
          <w:color w:val="000000"/>
        </w:rPr>
        <w:t>, charges totales, niveau d’endettement</w:t>
      </w:r>
      <w:r w:rsidRPr="00300CAD">
        <w:rPr>
          <w:rFonts w:cs="Arial"/>
          <w:color w:val="000000"/>
        </w:rPr>
        <w:t xml:space="preserve">). </w:t>
      </w:r>
    </w:p>
    <w:p w14:paraId="49A86824" w14:textId="2F646214" w:rsidR="00B24524" w:rsidRDefault="00B24524" w:rsidP="00B24524"/>
    <w:p w14:paraId="7A2BE62A" w14:textId="77777777" w:rsidR="003E1427" w:rsidRDefault="003E1427">
      <w:pPr>
        <w:spacing w:after="200" w:line="276" w:lineRule="auto"/>
        <w:rPr>
          <w:lang w:val="en-US"/>
        </w:rPr>
      </w:pPr>
    </w:p>
    <w:p w14:paraId="0129C3A9" w14:textId="77777777" w:rsidR="003E1427" w:rsidRDefault="003E1427">
      <w:pPr>
        <w:spacing w:after="200" w:line="276" w:lineRule="auto"/>
        <w:rPr>
          <w:lang w:val="en-US"/>
        </w:rPr>
      </w:pPr>
    </w:p>
    <w:p w14:paraId="583C0A57" w14:textId="77777777" w:rsidR="003E1427" w:rsidRDefault="003E1427">
      <w:pPr>
        <w:spacing w:after="200" w:line="276" w:lineRule="auto"/>
        <w:rPr>
          <w:lang w:val="en-US"/>
        </w:rPr>
      </w:pPr>
      <w:r>
        <w:rPr>
          <w:lang w:val="en-US"/>
        </w:rPr>
        <w:br w:type="page"/>
      </w:r>
    </w:p>
    <w:p w14:paraId="12658B5E" w14:textId="3D311E7D" w:rsidR="003E1427" w:rsidRPr="003E1427" w:rsidRDefault="008D27D4" w:rsidP="003E1427">
      <w:pPr>
        <w:pStyle w:val="Paragraphedeliste"/>
        <w:autoSpaceDE w:val="0"/>
        <w:autoSpaceDN w:val="0"/>
        <w:adjustRightInd w:val="0"/>
        <w:spacing w:after="61"/>
        <w:ind w:left="0"/>
        <w:jc w:val="both"/>
        <w:rPr>
          <w:b/>
          <w:sz w:val="28"/>
          <w:szCs w:val="28"/>
        </w:rPr>
      </w:pPr>
      <w:r>
        <w:rPr>
          <w:b/>
          <w:sz w:val="28"/>
          <w:szCs w:val="28"/>
        </w:rPr>
        <w:lastRenderedPageBreak/>
        <w:t>4</w:t>
      </w:r>
      <w:r w:rsidR="003E1427" w:rsidRPr="003E1427">
        <w:rPr>
          <w:b/>
          <w:sz w:val="28"/>
          <w:szCs w:val="28"/>
        </w:rPr>
        <w:t xml:space="preserve">. </w:t>
      </w:r>
      <w:r w:rsidR="003E1427" w:rsidRPr="003E1427">
        <w:rPr>
          <w:b/>
          <w:sz w:val="28"/>
          <w:szCs w:val="28"/>
        </w:rPr>
        <w:t>Appariement et statistiques descriptives</w:t>
      </w:r>
    </w:p>
    <w:p w14:paraId="5CA04DDE" w14:textId="77777777" w:rsidR="003E1427" w:rsidRPr="003E1427" w:rsidRDefault="003E1427">
      <w:pPr>
        <w:spacing w:after="200" w:line="276" w:lineRule="auto"/>
      </w:pPr>
    </w:p>
    <w:p w14:paraId="0CD82ABF" w14:textId="77777777" w:rsidR="003E1427" w:rsidRPr="003E1427" w:rsidRDefault="003E1427">
      <w:pPr>
        <w:spacing w:after="200" w:line="276" w:lineRule="auto"/>
      </w:pPr>
    </w:p>
    <w:p w14:paraId="5BECA6D8" w14:textId="55B4BFCF" w:rsidR="003E1427" w:rsidRPr="008D27D4" w:rsidRDefault="008D27D4" w:rsidP="003E1427">
      <w:pPr>
        <w:pStyle w:val="Paragraphedeliste"/>
        <w:autoSpaceDE w:val="0"/>
        <w:autoSpaceDN w:val="0"/>
        <w:adjustRightInd w:val="0"/>
        <w:spacing w:after="61"/>
        <w:ind w:left="0"/>
        <w:jc w:val="both"/>
        <w:rPr>
          <w:b/>
          <w:sz w:val="28"/>
          <w:szCs w:val="28"/>
        </w:rPr>
      </w:pPr>
      <w:r w:rsidRPr="008D27D4">
        <w:rPr>
          <w:b/>
          <w:sz w:val="28"/>
          <w:szCs w:val="28"/>
        </w:rPr>
        <w:t>5</w:t>
      </w:r>
      <w:r w:rsidR="003E1427" w:rsidRPr="008D27D4">
        <w:rPr>
          <w:b/>
          <w:sz w:val="28"/>
          <w:szCs w:val="28"/>
        </w:rPr>
        <w:t xml:space="preserve">. </w:t>
      </w:r>
      <w:r w:rsidR="003E1427" w:rsidRPr="008D27D4">
        <w:rPr>
          <w:b/>
          <w:sz w:val="28"/>
          <w:szCs w:val="28"/>
        </w:rPr>
        <w:t>Stratégie d’identification</w:t>
      </w:r>
    </w:p>
    <w:p w14:paraId="1F232535" w14:textId="77777777" w:rsidR="003E1427" w:rsidRPr="008D27D4" w:rsidRDefault="003E1427" w:rsidP="003E1427">
      <w:pPr>
        <w:pStyle w:val="Paragraphedeliste"/>
        <w:autoSpaceDE w:val="0"/>
        <w:autoSpaceDN w:val="0"/>
        <w:adjustRightInd w:val="0"/>
        <w:spacing w:after="61"/>
        <w:ind w:left="0"/>
        <w:jc w:val="both"/>
        <w:rPr>
          <w:b/>
          <w:sz w:val="28"/>
          <w:szCs w:val="28"/>
        </w:rPr>
      </w:pPr>
    </w:p>
    <w:p w14:paraId="22572A56" w14:textId="77777777" w:rsidR="003E1427" w:rsidRPr="008D27D4" w:rsidRDefault="003E1427" w:rsidP="003E1427">
      <w:pPr>
        <w:pStyle w:val="Paragraphedeliste"/>
        <w:autoSpaceDE w:val="0"/>
        <w:autoSpaceDN w:val="0"/>
        <w:adjustRightInd w:val="0"/>
        <w:spacing w:after="61"/>
        <w:ind w:left="0"/>
        <w:jc w:val="both"/>
        <w:rPr>
          <w:b/>
          <w:sz w:val="28"/>
          <w:szCs w:val="28"/>
        </w:rPr>
      </w:pPr>
    </w:p>
    <w:p w14:paraId="04FFF50B" w14:textId="3D21877B" w:rsidR="003E1427" w:rsidRDefault="008D27D4" w:rsidP="003E1427">
      <w:pPr>
        <w:pStyle w:val="Paragraphedeliste"/>
        <w:autoSpaceDE w:val="0"/>
        <w:autoSpaceDN w:val="0"/>
        <w:adjustRightInd w:val="0"/>
        <w:spacing w:after="61"/>
        <w:ind w:left="0"/>
        <w:jc w:val="both"/>
        <w:rPr>
          <w:b/>
          <w:sz w:val="28"/>
          <w:szCs w:val="28"/>
          <w:lang w:val="en-US"/>
        </w:rPr>
      </w:pPr>
      <w:r>
        <w:rPr>
          <w:b/>
          <w:sz w:val="28"/>
          <w:szCs w:val="28"/>
          <w:lang w:val="en-US"/>
        </w:rPr>
        <w:t>6</w:t>
      </w:r>
      <w:r w:rsidR="003E1427" w:rsidRPr="003E1427">
        <w:rPr>
          <w:b/>
          <w:sz w:val="28"/>
          <w:szCs w:val="28"/>
          <w:lang w:val="en-US"/>
        </w:rPr>
        <w:t xml:space="preserve">. </w:t>
      </w:r>
      <w:proofErr w:type="spellStart"/>
      <w:r w:rsidR="003E1427">
        <w:rPr>
          <w:b/>
          <w:sz w:val="28"/>
          <w:szCs w:val="28"/>
          <w:lang w:val="en-US"/>
        </w:rPr>
        <w:t>Résultats</w:t>
      </w:r>
      <w:proofErr w:type="spellEnd"/>
    </w:p>
    <w:p w14:paraId="32E1DAA3" w14:textId="77777777" w:rsidR="003E1427" w:rsidRDefault="003E1427" w:rsidP="003E1427">
      <w:pPr>
        <w:pStyle w:val="Paragraphedeliste"/>
        <w:autoSpaceDE w:val="0"/>
        <w:autoSpaceDN w:val="0"/>
        <w:adjustRightInd w:val="0"/>
        <w:spacing w:after="61"/>
        <w:ind w:left="0"/>
        <w:jc w:val="both"/>
        <w:rPr>
          <w:b/>
          <w:sz w:val="28"/>
          <w:szCs w:val="28"/>
          <w:lang w:val="en-US"/>
        </w:rPr>
      </w:pPr>
    </w:p>
    <w:p w14:paraId="1D8D71CA" w14:textId="77777777" w:rsidR="003E1427" w:rsidRPr="003E1427" w:rsidRDefault="003E1427" w:rsidP="003E1427">
      <w:pPr>
        <w:pStyle w:val="Paragraphedeliste"/>
        <w:autoSpaceDE w:val="0"/>
        <w:autoSpaceDN w:val="0"/>
        <w:adjustRightInd w:val="0"/>
        <w:spacing w:after="61"/>
        <w:ind w:left="0"/>
        <w:jc w:val="both"/>
        <w:rPr>
          <w:b/>
          <w:sz w:val="28"/>
          <w:szCs w:val="28"/>
          <w:lang w:val="en-US"/>
        </w:rPr>
      </w:pPr>
    </w:p>
    <w:p w14:paraId="1D5531A3" w14:textId="2B0DD559" w:rsidR="003E1427" w:rsidRPr="008D27D4" w:rsidRDefault="008D27D4">
      <w:pPr>
        <w:spacing w:after="200" w:line="276" w:lineRule="auto"/>
        <w:rPr>
          <w:rFonts w:asciiTheme="majorHAnsi" w:eastAsiaTheme="majorEastAsia" w:hAnsiTheme="majorHAnsi" w:cstheme="majorBidi"/>
          <w:b/>
          <w:bCs/>
          <w:color w:val="4F81BD" w:themeColor="accent1"/>
          <w:sz w:val="28"/>
          <w:szCs w:val="28"/>
          <w:lang w:val="en-US"/>
        </w:rPr>
      </w:pPr>
      <w:r w:rsidRPr="008D27D4">
        <w:rPr>
          <w:b/>
          <w:sz w:val="28"/>
          <w:szCs w:val="28"/>
          <w:lang w:val="en-US"/>
        </w:rPr>
        <w:t>7. Conclusions</w:t>
      </w:r>
      <w:r w:rsidR="003E1427" w:rsidRPr="008D27D4">
        <w:rPr>
          <w:b/>
          <w:sz w:val="28"/>
          <w:szCs w:val="28"/>
          <w:lang w:val="en-US"/>
        </w:rPr>
        <w:br w:type="page"/>
      </w:r>
    </w:p>
    <w:p w14:paraId="7F640920" w14:textId="0D875F06" w:rsidR="00B24524" w:rsidRPr="00B24524" w:rsidRDefault="00B24524" w:rsidP="00B24524">
      <w:pPr>
        <w:pStyle w:val="Titre2"/>
        <w:rPr>
          <w:lang w:val="en-US"/>
        </w:rPr>
      </w:pPr>
      <w:r w:rsidRPr="00B24524">
        <w:rPr>
          <w:lang w:val="en-US"/>
        </w:rPr>
        <w:lastRenderedPageBreak/>
        <w:t xml:space="preserve">References </w:t>
      </w:r>
    </w:p>
    <w:p w14:paraId="3BBF0570" w14:textId="77777777" w:rsidR="00B24524" w:rsidRPr="00691594" w:rsidRDefault="00B24524" w:rsidP="00B24524">
      <w:pPr>
        <w:autoSpaceDE w:val="0"/>
        <w:autoSpaceDN w:val="0"/>
        <w:adjustRightInd w:val="0"/>
        <w:jc w:val="both"/>
        <w:rPr>
          <w:lang w:val="en-US"/>
        </w:rPr>
      </w:pPr>
      <w:proofErr w:type="spellStart"/>
      <w:r w:rsidRPr="00691594">
        <w:rPr>
          <w:lang w:val="en-US"/>
        </w:rPr>
        <w:t>Bunel</w:t>
      </w:r>
      <w:proofErr w:type="spellEnd"/>
      <w:r w:rsidRPr="00691594">
        <w:rPr>
          <w:lang w:val="en-US"/>
        </w:rPr>
        <w:t xml:space="preserve"> M. </w:t>
      </w:r>
      <w:proofErr w:type="gramStart"/>
      <w:r w:rsidRPr="00691594">
        <w:rPr>
          <w:lang w:val="en-US"/>
        </w:rPr>
        <w:t>et</w:t>
      </w:r>
      <w:proofErr w:type="gramEnd"/>
      <w:r w:rsidRPr="00691594">
        <w:rPr>
          <w:lang w:val="en-US"/>
        </w:rPr>
        <w:t xml:space="preserve"> </w:t>
      </w:r>
      <w:proofErr w:type="spellStart"/>
      <w:r w:rsidRPr="00691594">
        <w:rPr>
          <w:lang w:val="en-US"/>
        </w:rPr>
        <w:t>L’Horty</w:t>
      </w:r>
      <w:proofErr w:type="spellEnd"/>
      <w:r w:rsidRPr="00691594">
        <w:rPr>
          <w:lang w:val="en-US"/>
        </w:rPr>
        <w:t xml:space="preserve">, Y. (2012), « The Effects of Reduced Social Security Contributions on Employment: an Evaluation of the 2003 French Reform », </w:t>
      </w:r>
      <w:r w:rsidRPr="00691594">
        <w:rPr>
          <w:i/>
          <w:iCs/>
          <w:lang w:val="en-US"/>
        </w:rPr>
        <w:t>Fiscal Studies</w:t>
      </w:r>
      <w:r w:rsidRPr="00691594">
        <w:rPr>
          <w:lang w:val="en-US"/>
        </w:rPr>
        <w:t>, 33(3): 371</w:t>
      </w:r>
      <w:r w:rsidRPr="00691594">
        <w:rPr>
          <w:rFonts w:ascii="Cambria Math" w:hAnsi="Cambria Math" w:cs="Cambria Math"/>
          <w:lang w:val="en-US"/>
        </w:rPr>
        <w:t>‐</w:t>
      </w:r>
      <w:r w:rsidRPr="00691594">
        <w:rPr>
          <w:lang w:val="en-US"/>
        </w:rPr>
        <w:t>398.</w:t>
      </w:r>
    </w:p>
    <w:p w14:paraId="2A407A6C" w14:textId="77777777" w:rsidR="00B24524" w:rsidRPr="00691594" w:rsidRDefault="00B24524" w:rsidP="00B24524">
      <w:pPr>
        <w:autoSpaceDE w:val="0"/>
        <w:autoSpaceDN w:val="0"/>
        <w:adjustRightInd w:val="0"/>
        <w:jc w:val="both"/>
        <w:rPr>
          <w:lang w:val="en-US"/>
        </w:rPr>
      </w:pPr>
      <w:proofErr w:type="spellStart"/>
      <w:r w:rsidRPr="00691594">
        <w:rPr>
          <w:lang w:val="en-US"/>
        </w:rPr>
        <w:t>Cerqua</w:t>
      </w:r>
      <w:proofErr w:type="spellEnd"/>
      <w:r w:rsidRPr="00691594">
        <w:rPr>
          <w:lang w:val="en-US"/>
        </w:rPr>
        <w:t xml:space="preserve">, A. and </w:t>
      </w:r>
      <w:proofErr w:type="spellStart"/>
      <w:r w:rsidRPr="00691594">
        <w:rPr>
          <w:lang w:val="en-US"/>
        </w:rPr>
        <w:t>Pellegrini</w:t>
      </w:r>
      <w:proofErr w:type="spellEnd"/>
      <w:r w:rsidRPr="00691594">
        <w:rPr>
          <w:lang w:val="en-US"/>
        </w:rPr>
        <w:t xml:space="preserve">, G. (2014), Beyond the SUTVA: how policy evaluations change when we allow for interactions among firms, </w:t>
      </w:r>
      <w:proofErr w:type="gramStart"/>
      <w:r w:rsidRPr="00691594">
        <w:rPr>
          <w:lang w:val="en-US"/>
        </w:rPr>
        <w:t>Working</w:t>
      </w:r>
      <w:proofErr w:type="gramEnd"/>
      <w:r w:rsidRPr="00691594">
        <w:rPr>
          <w:lang w:val="en-US"/>
        </w:rPr>
        <w:t xml:space="preserve"> paper. </w:t>
      </w:r>
    </w:p>
    <w:p w14:paraId="06A547D2" w14:textId="77777777" w:rsidR="00B24524" w:rsidRPr="00691594" w:rsidRDefault="00B24524" w:rsidP="00B24524">
      <w:pPr>
        <w:autoSpaceDE w:val="0"/>
        <w:autoSpaceDN w:val="0"/>
        <w:adjustRightInd w:val="0"/>
        <w:jc w:val="both"/>
      </w:pPr>
      <w:r w:rsidRPr="00691594">
        <w:t xml:space="preserve">Comité de suivi du Crédit d'impôt pour la compétitivité et l'emploi, (2015) Rapport 2015, France stratégie. </w:t>
      </w:r>
    </w:p>
    <w:p w14:paraId="0DC0FAD0" w14:textId="77777777" w:rsidR="00B24524" w:rsidRPr="00691594" w:rsidRDefault="00B24524" w:rsidP="00B24524">
      <w:pPr>
        <w:jc w:val="both"/>
      </w:pPr>
      <w:r w:rsidRPr="00691594">
        <w:t xml:space="preserve">Crépon B. et </w:t>
      </w:r>
      <w:proofErr w:type="spellStart"/>
      <w:r w:rsidRPr="00691594">
        <w:t>Desplatz</w:t>
      </w:r>
      <w:proofErr w:type="spellEnd"/>
      <w:r w:rsidRPr="00691594">
        <w:t xml:space="preserve"> R. (2001), « Une nouvelle évaluation des effets des allègements de charges sociales sur les bas salaires », </w:t>
      </w:r>
      <w:r w:rsidRPr="00691594">
        <w:rPr>
          <w:i/>
        </w:rPr>
        <w:t>Economie et Statistique</w:t>
      </w:r>
      <w:r w:rsidRPr="00691594">
        <w:t>, 348.</w:t>
      </w:r>
    </w:p>
    <w:p w14:paraId="3F62C7E4" w14:textId="77777777" w:rsidR="00B24524" w:rsidRPr="00691594" w:rsidRDefault="00B24524" w:rsidP="00B24524">
      <w:pPr>
        <w:autoSpaceDE w:val="0"/>
        <w:autoSpaceDN w:val="0"/>
        <w:adjustRightInd w:val="0"/>
        <w:rPr>
          <w:lang w:val="en-US"/>
        </w:rPr>
      </w:pPr>
      <w:proofErr w:type="spellStart"/>
      <w:r w:rsidRPr="00691594">
        <w:rPr>
          <w:lang w:val="en-US"/>
        </w:rPr>
        <w:t>Crépon</w:t>
      </w:r>
      <w:proofErr w:type="spellEnd"/>
      <w:r w:rsidRPr="00691594">
        <w:rPr>
          <w:lang w:val="en-US"/>
        </w:rPr>
        <w:t xml:space="preserve">, B., </w:t>
      </w:r>
      <w:proofErr w:type="spellStart"/>
      <w:r w:rsidRPr="00691594">
        <w:rPr>
          <w:lang w:val="en-US"/>
        </w:rPr>
        <w:t>Duflo</w:t>
      </w:r>
      <w:proofErr w:type="spellEnd"/>
      <w:r w:rsidRPr="00691594">
        <w:rPr>
          <w:lang w:val="en-US"/>
        </w:rPr>
        <w:t xml:space="preserve">, E., </w:t>
      </w:r>
      <w:proofErr w:type="spellStart"/>
      <w:r w:rsidRPr="00691594">
        <w:rPr>
          <w:lang w:val="en-US"/>
        </w:rPr>
        <w:t>Gurgand</w:t>
      </w:r>
      <w:proofErr w:type="spellEnd"/>
      <w:r w:rsidRPr="00691594">
        <w:rPr>
          <w:lang w:val="en-US"/>
        </w:rPr>
        <w:t xml:space="preserve">, M., </w:t>
      </w:r>
      <w:proofErr w:type="spellStart"/>
      <w:r w:rsidRPr="00691594">
        <w:rPr>
          <w:lang w:val="en-US"/>
        </w:rPr>
        <w:t>Rathelot</w:t>
      </w:r>
      <w:proofErr w:type="spellEnd"/>
      <w:r w:rsidRPr="00691594">
        <w:rPr>
          <w:lang w:val="en-US"/>
        </w:rPr>
        <w:t xml:space="preserve">, R., and Zamora, P. (2013): Do labor market policies have displacement effects? </w:t>
      </w:r>
      <w:proofErr w:type="gramStart"/>
      <w:r w:rsidRPr="00691594">
        <w:rPr>
          <w:lang w:val="en-US"/>
        </w:rPr>
        <w:t>Evidence from a clustered randomized experiment.</w:t>
      </w:r>
      <w:proofErr w:type="gramEnd"/>
      <w:r w:rsidRPr="00691594">
        <w:rPr>
          <w:lang w:val="en-US"/>
        </w:rPr>
        <w:t xml:space="preserve"> </w:t>
      </w:r>
      <w:r w:rsidRPr="00691594">
        <w:rPr>
          <w:i/>
          <w:iCs/>
          <w:lang w:val="en-US"/>
        </w:rPr>
        <w:t>Quarterly Journal of Economics</w:t>
      </w:r>
      <w:r w:rsidRPr="00691594">
        <w:rPr>
          <w:lang w:val="en-US"/>
        </w:rPr>
        <w:t>, 128(2): 531-580.</w:t>
      </w:r>
    </w:p>
    <w:p w14:paraId="4B9B56DC" w14:textId="77777777" w:rsidR="00B24524" w:rsidRPr="00691594" w:rsidRDefault="00B24524" w:rsidP="00B24524">
      <w:pPr>
        <w:autoSpaceDE w:val="0"/>
        <w:autoSpaceDN w:val="0"/>
        <w:adjustRightInd w:val="0"/>
        <w:rPr>
          <w:lang w:val="en-US"/>
        </w:rPr>
      </w:pPr>
      <w:proofErr w:type="spellStart"/>
      <w:r w:rsidRPr="00691594">
        <w:rPr>
          <w:lang w:val="en-US"/>
        </w:rPr>
        <w:t>Espsoti</w:t>
      </w:r>
      <w:proofErr w:type="spellEnd"/>
      <w:r w:rsidRPr="00691594">
        <w:rPr>
          <w:lang w:val="en-US"/>
        </w:rPr>
        <w:t xml:space="preserve"> </w:t>
      </w:r>
      <w:r>
        <w:rPr>
          <w:lang w:val="en-US"/>
        </w:rPr>
        <w:t xml:space="preserve">R. </w:t>
      </w:r>
      <w:r w:rsidRPr="00691594">
        <w:rPr>
          <w:lang w:val="en-US"/>
        </w:rPr>
        <w:t xml:space="preserve">(2014), To Match, Not </w:t>
      </w:r>
      <w:proofErr w:type="gramStart"/>
      <w:r w:rsidRPr="00691594">
        <w:rPr>
          <w:lang w:val="en-US"/>
        </w:rPr>
        <w:t>To</w:t>
      </w:r>
      <w:proofErr w:type="gramEnd"/>
      <w:r w:rsidRPr="00691594">
        <w:rPr>
          <w:lang w:val="en-US"/>
        </w:rPr>
        <w:t xml:space="preserve"> Match, How To Match:</w:t>
      </w:r>
      <w:r>
        <w:rPr>
          <w:lang w:val="en-US"/>
        </w:rPr>
        <w:t xml:space="preserve"> </w:t>
      </w:r>
      <w:r w:rsidRPr="00691594">
        <w:rPr>
          <w:lang w:val="en-US"/>
        </w:rPr>
        <w:t xml:space="preserve">Estimating the Farm-Level Impact of the </w:t>
      </w:r>
      <w:proofErr w:type="spellStart"/>
      <w:r w:rsidRPr="00691594">
        <w:rPr>
          <w:lang w:val="en-US"/>
        </w:rPr>
        <w:t>CAPFirst</w:t>
      </w:r>
      <w:proofErr w:type="spellEnd"/>
      <w:r>
        <w:rPr>
          <w:lang w:val="en-US"/>
        </w:rPr>
        <w:t xml:space="preserve"> </w:t>
      </w:r>
      <w:r w:rsidRPr="00691594">
        <w:rPr>
          <w:lang w:val="en-US"/>
        </w:rPr>
        <w:t>Pillar Reform</w:t>
      </w:r>
      <w:r w:rsidRPr="00691594">
        <w:rPr>
          <w:i/>
          <w:lang w:val="en-US"/>
        </w:rPr>
        <w:t xml:space="preserve">, </w:t>
      </w:r>
      <w:proofErr w:type="spellStart"/>
      <w:r w:rsidRPr="00691594">
        <w:rPr>
          <w:i/>
          <w:lang w:val="en-US"/>
        </w:rPr>
        <w:t>Quaderno</w:t>
      </w:r>
      <w:proofErr w:type="spellEnd"/>
      <w:r w:rsidRPr="00691594">
        <w:rPr>
          <w:i/>
          <w:lang w:val="en-US"/>
        </w:rPr>
        <w:t xml:space="preserve"> di </w:t>
      </w:r>
      <w:proofErr w:type="spellStart"/>
      <w:r w:rsidRPr="00691594">
        <w:rPr>
          <w:i/>
          <w:lang w:val="en-US"/>
        </w:rPr>
        <w:t>ricerca</w:t>
      </w:r>
      <w:proofErr w:type="spellEnd"/>
      <w:r>
        <w:rPr>
          <w:lang w:val="en-US"/>
        </w:rPr>
        <w:t xml:space="preserve">, #403, </w:t>
      </w:r>
      <w:proofErr w:type="spellStart"/>
      <w:r>
        <w:rPr>
          <w:lang w:val="en-US"/>
        </w:rPr>
        <w:t>Universita</w:t>
      </w:r>
      <w:proofErr w:type="spellEnd"/>
      <w:r>
        <w:rPr>
          <w:lang w:val="en-US"/>
        </w:rPr>
        <w:t xml:space="preserve"> </w:t>
      </w:r>
      <w:proofErr w:type="spellStart"/>
      <w:r>
        <w:rPr>
          <w:lang w:val="en-US"/>
        </w:rPr>
        <w:t>Politecnica</w:t>
      </w:r>
      <w:proofErr w:type="spellEnd"/>
      <w:r>
        <w:rPr>
          <w:lang w:val="en-US"/>
        </w:rPr>
        <w:t xml:space="preserve"> </w:t>
      </w:r>
      <w:proofErr w:type="spellStart"/>
      <w:r>
        <w:rPr>
          <w:lang w:val="en-US"/>
        </w:rPr>
        <w:t>delle</w:t>
      </w:r>
      <w:proofErr w:type="spellEnd"/>
      <w:r>
        <w:rPr>
          <w:lang w:val="en-US"/>
        </w:rPr>
        <w:t xml:space="preserve"> </w:t>
      </w:r>
      <w:proofErr w:type="spellStart"/>
      <w:r>
        <w:rPr>
          <w:lang w:val="en-US"/>
        </w:rPr>
        <w:t>marche</w:t>
      </w:r>
      <w:proofErr w:type="spellEnd"/>
      <w:r>
        <w:rPr>
          <w:lang w:val="en-US"/>
        </w:rPr>
        <w:t xml:space="preserve">. </w:t>
      </w:r>
    </w:p>
    <w:p w14:paraId="21601861" w14:textId="77777777" w:rsidR="00B24524" w:rsidRPr="00691594" w:rsidRDefault="00B24524" w:rsidP="00B24524">
      <w:pPr>
        <w:autoSpaceDE w:val="0"/>
        <w:autoSpaceDN w:val="0"/>
        <w:adjustRightInd w:val="0"/>
        <w:rPr>
          <w:lang w:val="en-US"/>
        </w:rPr>
      </w:pPr>
      <w:proofErr w:type="spellStart"/>
      <w:r w:rsidRPr="00691594">
        <w:rPr>
          <w:lang w:val="en-US"/>
        </w:rPr>
        <w:t>Ferracci</w:t>
      </w:r>
      <w:proofErr w:type="spellEnd"/>
      <w:r w:rsidRPr="00691594">
        <w:rPr>
          <w:lang w:val="en-US"/>
        </w:rPr>
        <w:t xml:space="preserve">, M., </w:t>
      </w:r>
      <w:proofErr w:type="spellStart"/>
      <w:r w:rsidRPr="00691594">
        <w:rPr>
          <w:lang w:val="en-US"/>
        </w:rPr>
        <w:t>Jolivet</w:t>
      </w:r>
      <w:proofErr w:type="spellEnd"/>
      <w:r w:rsidRPr="00691594">
        <w:rPr>
          <w:lang w:val="en-US"/>
        </w:rPr>
        <w:t>, G., and van den Berg, G. J. (2014): Empirical evidence of treatment spillovers within markets, Review of Economics and Statistics, 96(5):812-823.</w:t>
      </w:r>
    </w:p>
    <w:p w14:paraId="7E940EA3" w14:textId="77777777" w:rsidR="00B24524" w:rsidRPr="00691594" w:rsidRDefault="00B24524" w:rsidP="00B24524">
      <w:pPr>
        <w:autoSpaceDE w:val="0"/>
        <w:autoSpaceDN w:val="0"/>
        <w:adjustRightInd w:val="0"/>
        <w:jc w:val="both"/>
        <w:rPr>
          <w:lang w:val="en-US"/>
        </w:rPr>
      </w:pPr>
      <w:proofErr w:type="spellStart"/>
      <w:r w:rsidRPr="00691594">
        <w:rPr>
          <w:lang w:val="en-US"/>
        </w:rPr>
        <w:t>Florens</w:t>
      </w:r>
      <w:proofErr w:type="spellEnd"/>
      <w:r w:rsidRPr="00691594">
        <w:rPr>
          <w:lang w:val="en-US"/>
        </w:rPr>
        <w:t xml:space="preserve"> J., Heckman J.J., </w:t>
      </w:r>
      <w:proofErr w:type="spellStart"/>
      <w:r w:rsidRPr="00691594">
        <w:rPr>
          <w:lang w:val="en-US"/>
        </w:rPr>
        <w:t>Meghir</w:t>
      </w:r>
      <w:proofErr w:type="spellEnd"/>
      <w:r w:rsidRPr="00691594">
        <w:rPr>
          <w:lang w:val="en-US"/>
        </w:rPr>
        <w:t xml:space="preserve"> C. et </w:t>
      </w:r>
      <w:proofErr w:type="spellStart"/>
      <w:r w:rsidRPr="00691594">
        <w:rPr>
          <w:lang w:val="en-US"/>
        </w:rPr>
        <w:t>Vytlacil</w:t>
      </w:r>
      <w:proofErr w:type="spellEnd"/>
      <w:r w:rsidRPr="00691594">
        <w:rPr>
          <w:lang w:val="en-US"/>
        </w:rPr>
        <w:t xml:space="preserve"> E. (2008) Identification of treatment effects using control functions in model with continuous, endogenous treatment and heterogeneous effects, </w:t>
      </w:r>
      <w:proofErr w:type="spellStart"/>
      <w:r w:rsidRPr="00691594">
        <w:rPr>
          <w:i/>
          <w:iCs/>
          <w:lang w:val="en-US"/>
        </w:rPr>
        <w:t>Econometrica</w:t>
      </w:r>
      <w:proofErr w:type="spellEnd"/>
      <w:r w:rsidRPr="00691594">
        <w:rPr>
          <w:i/>
          <w:iCs/>
          <w:lang w:val="en-US"/>
        </w:rPr>
        <w:t xml:space="preserve"> </w:t>
      </w:r>
      <w:proofErr w:type="gramStart"/>
      <w:r w:rsidRPr="00691594">
        <w:rPr>
          <w:lang w:val="en-US"/>
        </w:rPr>
        <w:t>76 :</w:t>
      </w:r>
      <w:proofErr w:type="gramEnd"/>
      <w:r w:rsidRPr="00691594">
        <w:rPr>
          <w:lang w:val="en-US"/>
        </w:rPr>
        <w:t xml:space="preserve"> 1191</w:t>
      </w:r>
      <w:r w:rsidRPr="00691594">
        <w:rPr>
          <w:rFonts w:ascii="Cambria Math" w:hAnsi="Cambria Math" w:cs="Cambria Math"/>
          <w:lang w:val="en-US"/>
        </w:rPr>
        <w:t>‐</w:t>
      </w:r>
      <w:r w:rsidRPr="00691594">
        <w:rPr>
          <w:lang w:val="en-US"/>
        </w:rPr>
        <w:t>1206.</w:t>
      </w:r>
    </w:p>
    <w:p w14:paraId="11027569" w14:textId="77777777" w:rsidR="00B24524" w:rsidRPr="00E0107B" w:rsidRDefault="00B24524" w:rsidP="00B24524">
      <w:pPr>
        <w:autoSpaceDE w:val="0"/>
        <w:autoSpaceDN w:val="0"/>
        <w:adjustRightInd w:val="0"/>
      </w:pPr>
      <w:proofErr w:type="spellStart"/>
      <w:proofErr w:type="gramStart"/>
      <w:r w:rsidRPr="00691594">
        <w:rPr>
          <w:lang w:val="en-US"/>
        </w:rPr>
        <w:t>Frolich</w:t>
      </w:r>
      <w:proofErr w:type="spellEnd"/>
      <w:r w:rsidRPr="00691594">
        <w:rPr>
          <w:lang w:val="en-US"/>
        </w:rPr>
        <w:t xml:space="preserve">, M. (2004), </w:t>
      </w:r>
      <w:proofErr w:type="spellStart"/>
      <w:r w:rsidRPr="00691594">
        <w:rPr>
          <w:lang w:val="en-US"/>
        </w:rPr>
        <w:t>Programme</w:t>
      </w:r>
      <w:proofErr w:type="spellEnd"/>
      <w:r w:rsidRPr="00691594">
        <w:rPr>
          <w:lang w:val="en-US"/>
        </w:rPr>
        <w:t xml:space="preserve"> evaluation with multiple treatments.</w:t>
      </w:r>
      <w:proofErr w:type="gramEnd"/>
      <w:r w:rsidRPr="00691594">
        <w:rPr>
          <w:lang w:val="en-US"/>
        </w:rPr>
        <w:t xml:space="preserve"> </w:t>
      </w:r>
      <w:r w:rsidRPr="00E0107B">
        <w:t xml:space="preserve">Journal of </w:t>
      </w:r>
      <w:proofErr w:type="spellStart"/>
      <w:r w:rsidRPr="00E0107B">
        <w:t>Economic</w:t>
      </w:r>
      <w:proofErr w:type="spellEnd"/>
      <w:r w:rsidRPr="00E0107B">
        <w:t xml:space="preserve"> </w:t>
      </w:r>
      <w:proofErr w:type="spellStart"/>
      <w:r w:rsidRPr="00E0107B">
        <w:t>Surveys</w:t>
      </w:r>
      <w:proofErr w:type="spellEnd"/>
      <w:r w:rsidRPr="00E0107B">
        <w:t>, 18: 181-224.</w:t>
      </w:r>
    </w:p>
    <w:p w14:paraId="265EE9BB" w14:textId="77777777" w:rsidR="00B24524" w:rsidRPr="00691594" w:rsidRDefault="00B24524" w:rsidP="00B24524">
      <w:pPr>
        <w:autoSpaceDE w:val="0"/>
        <w:autoSpaceDN w:val="0"/>
        <w:adjustRightInd w:val="0"/>
      </w:pPr>
      <w:proofErr w:type="spellStart"/>
      <w:r w:rsidRPr="00691594">
        <w:t>Gafsi</w:t>
      </w:r>
      <w:proofErr w:type="spellEnd"/>
      <w:r w:rsidRPr="00691594">
        <w:t>, I. L'</w:t>
      </w:r>
      <w:proofErr w:type="spellStart"/>
      <w:r w:rsidRPr="00691594">
        <w:t>Horty</w:t>
      </w:r>
      <w:proofErr w:type="spellEnd"/>
      <w:r w:rsidRPr="00691594">
        <w:t xml:space="preserve"> Y. et </w:t>
      </w:r>
      <w:proofErr w:type="spellStart"/>
      <w:r w:rsidRPr="00691594">
        <w:t>Mihoubi</w:t>
      </w:r>
      <w:proofErr w:type="spellEnd"/>
      <w:r w:rsidRPr="00691594">
        <w:t xml:space="preserve"> F., (2004) </w:t>
      </w:r>
    </w:p>
    <w:p w14:paraId="22396155" w14:textId="77777777" w:rsidR="00B24524" w:rsidRPr="00691594" w:rsidRDefault="00B24524" w:rsidP="00B24524">
      <w:pPr>
        <w:autoSpaceDE w:val="0"/>
        <w:autoSpaceDN w:val="0"/>
        <w:adjustRightInd w:val="0"/>
        <w:jc w:val="both"/>
      </w:pPr>
      <w:r w:rsidRPr="00691594">
        <w:t>Gallois L., (2012), Pacte pour la compétitivité de l’industrie française, Rapport au Premier ministre, Documentation française.</w:t>
      </w:r>
    </w:p>
    <w:p w14:paraId="0E57CEC7" w14:textId="77777777" w:rsidR="00B24524" w:rsidRPr="00691594" w:rsidRDefault="00B24524" w:rsidP="00B24524">
      <w:pPr>
        <w:autoSpaceDE w:val="0"/>
        <w:autoSpaceDN w:val="0"/>
        <w:adjustRightInd w:val="0"/>
        <w:jc w:val="both"/>
        <w:rPr>
          <w:lang w:val="en-US"/>
        </w:rPr>
      </w:pPr>
      <w:r w:rsidRPr="00691594">
        <w:rPr>
          <w:lang w:val="en-US"/>
        </w:rPr>
        <w:t xml:space="preserve">Heckman, J. J., R. J. </w:t>
      </w:r>
      <w:proofErr w:type="spellStart"/>
      <w:r w:rsidRPr="00691594">
        <w:rPr>
          <w:lang w:val="en-US"/>
        </w:rPr>
        <w:t>LaLonde</w:t>
      </w:r>
      <w:proofErr w:type="spellEnd"/>
      <w:r w:rsidRPr="00691594">
        <w:rPr>
          <w:lang w:val="en-US"/>
        </w:rPr>
        <w:t xml:space="preserve">, and J. A. Smith (1999) </w:t>
      </w:r>
      <w:proofErr w:type="gramStart"/>
      <w:r w:rsidRPr="00691594">
        <w:rPr>
          <w:lang w:val="en-US"/>
        </w:rPr>
        <w:t>The</w:t>
      </w:r>
      <w:proofErr w:type="gramEnd"/>
      <w:r w:rsidRPr="00691594">
        <w:rPr>
          <w:lang w:val="en-US"/>
        </w:rPr>
        <w:t xml:space="preserve"> Economics and Econometrics of Active Labor Market Programs. in Handbook of Labor Economics, ed. by O. C. </w:t>
      </w:r>
      <w:proofErr w:type="spellStart"/>
      <w:r w:rsidRPr="00691594">
        <w:rPr>
          <w:lang w:val="en-US"/>
        </w:rPr>
        <w:t>Ashenfelter</w:t>
      </w:r>
      <w:proofErr w:type="spellEnd"/>
      <w:r w:rsidRPr="00691594">
        <w:rPr>
          <w:lang w:val="en-US"/>
        </w:rPr>
        <w:t xml:space="preserve">, and D. Card, vol. 3, chap. 31, pp. 1865–2097. </w:t>
      </w:r>
      <w:proofErr w:type="gramStart"/>
      <w:r w:rsidRPr="00691594">
        <w:rPr>
          <w:lang w:val="en-US"/>
        </w:rPr>
        <w:t>Elsevier, North Holland.</w:t>
      </w:r>
      <w:proofErr w:type="gramEnd"/>
    </w:p>
    <w:p w14:paraId="59A4540D" w14:textId="77777777" w:rsidR="00B24524" w:rsidRPr="00691594" w:rsidRDefault="00B24524" w:rsidP="00B24524">
      <w:pPr>
        <w:autoSpaceDE w:val="0"/>
        <w:autoSpaceDN w:val="0"/>
        <w:adjustRightInd w:val="0"/>
        <w:jc w:val="both"/>
        <w:rPr>
          <w:lang w:val="en-US"/>
        </w:rPr>
      </w:pPr>
      <w:r w:rsidRPr="00691594">
        <w:rPr>
          <w:lang w:val="en-US"/>
        </w:rPr>
        <w:t xml:space="preserve">Hirano, K., </w:t>
      </w:r>
      <w:proofErr w:type="spellStart"/>
      <w:r w:rsidRPr="00691594">
        <w:rPr>
          <w:lang w:val="en-US"/>
        </w:rPr>
        <w:t>Imbens</w:t>
      </w:r>
      <w:proofErr w:type="spellEnd"/>
      <w:r w:rsidRPr="00691594">
        <w:rPr>
          <w:lang w:val="en-US"/>
        </w:rPr>
        <w:t xml:space="preserve">, G.W. (2004). The propensity score with continuous treatment. In: </w:t>
      </w:r>
      <w:proofErr w:type="spellStart"/>
      <w:r w:rsidRPr="00691594">
        <w:rPr>
          <w:lang w:val="en-US"/>
        </w:rPr>
        <w:t>Gelman</w:t>
      </w:r>
      <w:proofErr w:type="spellEnd"/>
      <w:r w:rsidRPr="00691594">
        <w:rPr>
          <w:lang w:val="en-US"/>
        </w:rPr>
        <w:t xml:space="preserve">, A., </w:t>
      </w:r>
      <w:proofErr w:type="spellStart"/>
      <w:r w:rsidRPr="00691594">
        <w:rPr>
          <w:lang w:val="en-US"/>
        </w:rPr>
        <w:t>Meng</w:t>
      </w:r>
      <w:proofErr w:type="spellEnd"/>
      <w:r w:rsidRPr="00691594">
        <w:rPr>
          <w:lang w:val="en-US"/>
        </w:rPr>
        <w:t xml:space="preserve">, X.L. (eds.) Applied Bayesian Modeling and Causal Inference from Incomplete-Data Perspectives. West Sussex: Wiley </w:t>
      </w:r>
      <w:proofErr w:type="spellStart"/>
      <w:r w:rsidRPr="00691594">
        <w:rPr>
          <w:lang w:val="en-US"/>
        </w:rPr>
        <w:t>InterScience</w:t>
      </w:r>
      <w:proofErr w:type="spellEnd"/>
      <w:r w:rsidRPr="00691594">
        <w:rPr>
          <w:lang w:val="en-US"/>
        </w:rPr>
        <w:t>, 73-84.</w:t>
      </w:r>
    </w:p>
    <w:p w14:paraId="10395390" w14:textId="77777777" w:rsidR="00B24524" w:rsidRPr="00691594" w:rsidRDefault="00B24524" w:rsidP="00B24524">
      <w:pPr>
        <w:autoSpaceDE w:val="0"/>
        <w:autoSpaceDN w:val="0"/>
        <w:adjustRightInd w:val="0"/>
        <w:jc w:val="both"/>
      </w:pPr>
      <w:proofErr w:type="spellStart"/>
      <w:proofErr w:type="gramStart"/>
      <w:r w:rsidRPr="00691594">
        <w:rPr>
          <w:lang w:val="en-US"/>
        </w:rPr>
        <w:t>Imbens</w:t>
      </w:r>
      <w:proofErr w:type="spellEnd"/>
      <w:r w:rsidRPr="00691594">
        <w:rPr>
          <w:lang w:val="en-US"/>
        </w:rPr>
        <w:t>, G.W. and Wooldridge, J.M. (2009).</w:t>
      </w:r>
      <w:proofErr w:type="gramEnd"/>
      <w:r w:rsidRPr="00691594">
        <w:rPr>
          <w:lang w:val="en-US"/>
        </w:rPr>
        <w:t xml:space="preserve"> </w:t>
      </w:r>
      <w:proofErr w:type="gramStart"/>
      <w:r w:rsidRPr="00E0107B">
        <w:rPr>
          <w:lang w:val="en-US"/>
        </w:rPr>
        <w:t>Recent Developments in the Econometrics of Program Evaluation.</w:t>
      </w:r>
      <w:proofErr w:type="gramEnd"/>
      <w:r w:rsidRPr="00E0107B">
        <w:rPr>
          <w:lang w:val="en-US"/>
        </w:rPr>
        <w:t xml:space="preserve"> </w:t>
      </w:r>
      <w:r w:rsidRPr="00691594">
        <w:rPr>
          <w:i/>
        </w:rPr>
        <w:t xml:space="preserve">Journal of </w:t>
      </w:r>
      <w:proofErr w:type="spellStart"/>
      <w:r w:rsidRPr="00691594">
        <w:rPr>
          <w:i/>
        </w:rPr>
        <w:t>Economic</w:t>
      </w:r>
      <w:proofErr w:type="spellEnd"/>
      <w:r w:rsidRPr="00691594">
        <w:rPr>
          <w:i/>
        </w:rPr>
        <w:t xml:space="preserve"> </w:t>
      </w:r>
      <w:proofErr w:type="spellStart"/>
      <w:r w:rsidRPr="00691594">
        <w:rPr>
          <w:i/>
        </w:rPr>
        <w:t>Literature</w:t>
      </w:r>
      <w:proofErr w:type="spellEnd"/>
      <w:r w:rsidRPr="00691594">
        <w:t>, 47 (1), 5–86.</w:t>
      </w:r>
    </w:p>
    <w:p w14:paraId="024770D1" w14:textId="77777777" w:rsidR="00B24524" w:rsidRPr="00691594" w:rsidRDefault="00B24524" w:rsidP="00B24524">
      <w:pPr>
        <w:autoSpaceDE w:val="0"/>
        <w:autoSpaceDN w:val="0"/>
        <w:adjustRightInd w:val="0"/>
      </w:pPr>
      <w:r w:rsidRPr="00691594">
        <w:t xml:space="preserve">Jamet S. (2005), De l'impact sectoriel à l'effet macro-économique des allégements de cotisations sociales. </w:t>
      </w:r>
      <w:r w:rsidRPr="00691594">
        <w:rPr>
          <w:i/>
        </w:rPr>
        <w:t>Revue française d'économie</w:t>
      </w:r>
      <w:r w:rsidRPr="00691594">
        <w:t>, 19(3):57-90.</w:t>
      </w:r>
    </w:p>
    <w:p w14:paraId="09BFA991" w14:textId="77777777" w:rsidR="00B24524" w:rsidRPr="00E0107B" w:rsidRDefault="00B24524" w:rsidP="00B24524">
      <w:pPr>
        <w:autoSpaceDE w:val="0"/>
        <w:autoSpaceDN w:val="0"/>
        <w:adjustRightInd w:val="0"/>
        <w:rPr>
          <w:lang w:val="en-US"/>
        </w:rPr>
      </w:pPr>
      <w:r w:rsidRPr="00691594">
        <w:t xml:space="preserve">Malinvaud, E. (2002), Sur l'agrégation des demandes de travail non qualifié. </w:t>
      </w:r>
      <w:proofErr w:type="spellStart"/>
      <w:r w:rsidRPr="00E0107B">
        <w:rPr>
          <w:lang w:val="en-US"/>
        </w:rPr>
        <w:t>Annales</w:t>
      </w:r>
      <w:proofErr w:type="spellEnd"/>
      <w:r w:rsidRPr="00E0107B">
        <w:rPr>
          <w:lang w:val="en-US"/>
        </w:rPr>
        <w:t xml:space="preserve"> </w:t>
      </w:r>
      <w:proofErr w:type="spellStart"/>
      <w:r w:rsidRPr="00E0107B">
        <w:rPr>
          <w:lang w:val="en-US"/>
        </w:rPr>
        <w:t>d'économie</w:t>
      </w:r>
      <w:proofErr w:type="spellEnd"/>
      <w:r w:rsidRPr="00E0107B">
        <w:rPr>
          <w:lang w:val="en-US"/>
        </w:rPr>
        <w:t xml:space="preserve"> et de </w:t>
      </w:r>
      <w:proofErr w:type="spellStart"/>
      <w:r w:rsidRPr="00E0107B">
        <w:rPr>
          <w:lang w:val="en-US"/>
        </w:rPr>
        <w:t>statistique</w:t>
      </w:r>
      <w:proofErr w:type="spellEnd"/>
      <w:r w:rsidRPr="00E0107B">
        <w:rPr>
          <w:lang w:val="en-US"/>
        </w:rPr>
        <w:t xml:space="preserve">, </w:t>
      </w:r>
      <w:proofErr w:type="gramStart"/>
      <w:r w:rsidRPr="00E0107B">
        <w:rPr>
          <w:lang w:val="en-US"/>
        </w:rPr>
        <w:t>66 :</w:t>
      </w:r>
      <w:proofErr w:type="gramEnd"/>
      <w:r w:rsidRPr="00E0107B">
        <w:rPr>
          <w:lang w:val="en-US"/>
        </w:rPr>
        <w:t xml:space="preserve"> 41-80.</w:t>
      </w:r>
    </w:p>
    <w:p w14:paraId="18D8D687" w14:textId="77777777" w:rsidR="00B24524" w:rsidRPr="00691594" w:rsidRDefault="00B24524" w:rsidP="00B24524">
      <w:pPr>
        <w:autoSpaceDE w:val="0"/>
        <w:autoSpaceDN w:val="0"/>
        <w:adjustRightInd w:val="0"/>
        <w:jc w:val="both"/>
        <w:rPr>
          <w:lang w:val="en-US"/>
        </w:rPr>
      </w:pPr>
      <w:r w:rsidRPr="00691594">
        <w:rPr>
          <w:lang w:val="en-US"/>
        </w:rPr>
        <w:t xml:space="preserve">Rosenbaum, P. R., and D. B. Rubin (1983) The Central Role of the Propensity Score in Observational Studies for Causal Effects. </w:t>
      </w:r>
      <w:proofErr w:type="spellStart"/>
      <w:r w:rsidRPr="00691594">
        <w:rPr>
          <w:i/>
          <w:lang w:val="en-US"/>
        </w:rPr>
        <w:t>Biometrika</w:t>
      </w:r>
      <w:proofErr w:type="spellEnd"/>
      <w:r w:rsidRPr="00691594">
        <w:rPr>
          <w:lang w:val="en-US"/>
        </w:rPr>
        <w:t>, 70(1): 41–55.</w:t>
      </w:r>
    </w:p>
    <w:p w14:paraId="51AAC203" w14:textId="77777777" w:rsidR="00B24524" w:rsidRPr="00691594" w:rsidRDefault="00B24524" w:rsidP="00B24524">
      <w:pPr>
        <w:autoSpaceDE w:val="0"/>
        <w:autoSpaceDN w:val="0"/>
        <w:adjustRightInd w:val="0"/>
        <w:jc w:val="both"/>
        <w:rPr>
          <w:lang w:val="en-US"/>
        </w:rPr>
      </w:pPr>
      <w:r w:rsidRPr="00691594">
        <w:rPr>
          <w:lang w:val="en-US"/>
        </w:rPr>
        <w:t xml:space="preserve">Rubin, D. B. (1978): “Bayesian Inference for Causal Effects: The Role of Randomization,” </w:t>
      </w:r>
      <w:r w:rsidRPr="00691594">
        <w:rPr>
          <w:i/>
          <w:lang w:val="en-US"/>
        </w:rPr>
        <w:t>The Annals of Statistics,</w:t>
      </w:r>
      <w:r w:rsidRPr="00691594">
        <w:rPr>
          <w:lang w:val="en-US"/>
        </w:rPr>
        <w:t xml:space="preserve"> 6(1): 34–58.</w:t>
      </w:r>
    </w:p>
    <w:p w14:paraId="1EE1DAE6" w14:textId="77777777" w:rsidR="00B24524" w:rsidRPr="00E0107B" w:rsidRDefault="00B24524" w:rsidP="00B24524">
      <w:pPr>
        <w:autoSpaceDE w:val="0"/>
        <w:autoSpaceDN w:val="0"/>
        <w:adjustRightInd w:val="0"/>
        <w:jc w:val="both"/>
      </w:pPr>
      <w:r w:rsidRPr="00691594">
        <w:rPr>
          <w:lang w:val="en-US"/>
        </w:rPr>
        <w:t xml:space="preserve">Rubin, D.B., (1986), Comment: Which Ifs Have Causal </w:t>
      </w:r>
      <w:proofErr w:type="gramStart"/>
      <w:r w:rsidRPr="00691594">
        <w:rPr>
          <w:lang w:val="en-US"/>
        </w:rPr>
        <w:t>Answers</w:t>
      </w:r>
      <w:r w:rsidRPr="00691594">
        <w:rPr>
          <w:i/>
          <w:lang w:val="en-US"/>
        </w:rPr>
        <w:t>.</w:t>
      </w:r>
      <w:proofErr w:type="gramEnd"/>
      <w:r w:rsidRPr="00691594">
        <w:rPr>
          <w:i/>
          <w:lang w:val="en-US"/>
        </w:rPr>
        <w:t xml:space="preserve"> </w:t>
      </w:r>
      <w:proofErr w:type="gramStart"/>
      <w:r w:rsidRPr="00691594">
        <w:rPr>
          <w:i/>
          <w:lang w:val="en-US"/>
        </w:rPr>
        <w:t>Journal of the American Statistical Association</w:t>
      </w:r>
      <w:r w:rsidRPr="00691594">
        <w:rPr>
          <w:lang w:val="en-US"/>
        </w:rPr>
        <w:t>.</w:t>
      </w:r>
      <w:proofErr w:type="gramEnd"/>
      <w:r w:rsidRPr="00691594">
        <w:rPr>
          <w:lang w:val="en-US"/>
        </w:rPr>
        <w:t xml:space="preserve"> </w:t>
      </w:r>
      <w:r w:rsidRPr="00E0107B">
        <w:t>81: 961-962.</w:t>
      </w:r>
    </w:p>
    <w:p w14:paraId="599777B4" w14:textId="77777777" w:rsidR="00B24524" w:rsidRPr="00691594" w:rsidRDefault="00B24524" w:rsidP="00B24524">
      <w:pPr>
        <w:autoSpaceDE w:val="0"/>
        <w:autoSpaceDN w:val="0"/>
        <w:adjustRightInd w:val="0"/>
        <w:jc w:val="both"/>
      </w:pPr>
      <w:r w:rsidRPr="00691594">
        <w:t>Trannoy A. et L. Simula, (2009), Incidence fiscale des impôts payés par les entreprises : ce que l’on sait, ce que l’on ne sait pas et ce que l’on ne saura jamais, Rapport pour le Conseil des Prélèvements Obligatoires, mai.</w:t>
      </w:r>
    </w:p>
    <w:sectPr w:rsidR="00B24524" w:rsidRPr="00691594" w:rsidSect="00B2452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F96E9" w14:textId="77777777" w:rsidR="00B910FD" w:rsidRDefault="00B910FD" w:rsidP="00D94137">
      <w:r>
        <w:separator/>
      </w:r>
    </w:p>
  </w:endnote>
  <w:endnote w:type="continuationSeparator" w:id="0">
    <w:p w14:paraId="3BB69253" w14:textId="77777777" w:rsidR="00B910FD" w:rsidRDefault="00B910FD" w:rsidP="00D9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148779"/>
      <w:docPartObj>
        <w:docPartGallery w:val="Page Numbers (Bottom of Page)"/>
        <w:docPartUnique/>
      </w:docPartObj>
    </w:sdtPr>
    <w:sdtContent>
      <w:p w14:paraId="2CB9493B" w14:textId="77777777" w:rsidR="002A6793" w:rsidRDefault="002A6793">
        <w:pPr>
          <w:pStyle w:val="Pieddepage"/>
          <w:jc w:val="right"/>
        </w:pPr>
        <w:r>
          <w:fldChar w:fldCharType="begin"/>
        </w:r>
        <w:r>
          <w:instrText>PAGE   \* MERGEFORMAT</w:instrText>
        </w:r>
        <w:r>
          <w:fldChar w:fldCharType="separate"/>
        </w:r>
        <w:r w:rsidR="008D27D4">
          <w:rPr>
            <w:noProof/>
          </w:rPr>
          <w:t>1</w:t>
        </w:r>
        <w:r>
          <w:fldChar w:fldCharType="end"/>
        </w:r>
      </w:p>
    </w:sdtContent>
  </w:sdt>
  <w:p w14:paraId="5B3B20FE" w14:textId="77777777" w:rsidR="002A6793" w:rsidRDefault="002A679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813AC" w14:textId="77777777" w:rsidR="00B910FD" w:rsidRDefault="00B910FD" w:rsidP="00D94137">
      <w:r>
        <w:separator/>
      </w:r>
    </w:p>
  </w:footnote>
  <w:footnote w:type="continuationSeparator" w:id="0">
    <w:p w14:paraId="12370269" w14:textId="77777777" w:rsidR="00B910FD" w:rsidRDefault="00B910FD" w:rsidP="00D94137">
      <w:r>
        <w:continuationSeparator/>
      </w:r>
    </w:p>
  </w:footnote>
  <w:footnote w:id="1">
    <w:p w14:paraId="200D0938" w14:textId="2624E03E" w:rsidR="002A6793" w:rsidRPr="002A6793" w:rsidRDefault="002A6793" w:rsidP="00C4419C">
      <w:pPr>
        <w:jc w:val="both"/>
        <w:rPr>
          <w:sz w:val="20"/>
          <w:szCs w:val="20"/>
        </w:rPr>
      </w:pPr>
      <w:r>
        <w:rPr>
          <w:rStyle w:val="Appelnotedebasdep"/>
        </w:rPr>
        <w:footnoteRef/>
      </w:r>
      <w:r w:rsidRPr="002A6793">
        <w:rPr>
          <w:sz w:val="20"/>
          <w:szCs w:val="20"/>
        </w:rPr>
        <w:t xml:space="preserve"> Mathieu </w:t>
      </w:r>
      <w:r w:rsidRPr="002A6793">
        <w:rPr>
          <w:smallCaps/>
          <w:sz w:val="20"/>
          <w:szCs w:val="20"/>
        </w:rPr>
        <w:t>Bunel</w:t>
      </w:r>
      <w:r w:rsidRPr="002A6793">
        <w:rPr>
          <w:sz w:val="20"/>
          <w:szCs w:val="20"/>
        </w:rPr>
        <w:t xml:space="preserve">, Université de Bourgogne et LEDI (UMR 6307), 2 boulevard Gabriel, BP 26611, 21066 Dijon cedex, </w:t>
      </w:r>
      <w:hyperlink r:id="rId1" w:history="1">
        <w:r w:rsidRPr="002A6793">
          <w:rPr>
            <w:rStyle w:val="Lienhypertexte"/>
            <w:sz w:val="20"/>
            <w:szCs w:val="20"/>
          </w:rPr>
          <w:t>mathieu.bunel@u-bourgogne.fr</w:t>
        </w:r>
      </w:hyperlink>
      <w:r w:rsidRPr="002A6793">
        <w:rPr>
          <w:sz w:val="20"/>
          <w:szCs w:val="20"/>
        </w:rPr>
        <w:t xml:space="preserve"> </w:t>
      </w:r>
    </w:p>
  </w:footnote>
  <w:footnote w:id="2">
    <w:p w14:paraId="155A07DE" w14:textId="4E397B53" w:rsidR="002A6793" w:rsidRPr="002A6793" w:rsidRDefault="002A6793" w:rsidP="0005264D">
      <w:pPr>
        <w:jc w:val="both"/>
        <w:rPr>
          <w:bCs/>
          <w:sz w:val="20"/>
          <w:szCs w:val="20"/>
        </w:rPr>
      </w:pPr>
      <w:r w:rsidRPr="002A6793">
        <w:rPr>
          <w:rStyle w:val="Appelnotedebasdep"/>
          <w:sz w:val="20"/>
          <w:szCs w:val="20"/>
        </w:rPr>
        <w:footnoteRef/>
      </w:r>
      <w:r w:rsidRPr="002A6793">
        <w:rPr>
          <w:sz w:val="20"/>
          <w:szCs w:val="20"/>
        </w:rPr>
        <w:t xml:space="preserve"> </w:t>
      </w:r>
      <w:r w:rsidRPr="002A6793">
        <w:rPr>
          <w:bCs/>
          <w:sz w:val="20"/>
          <w:szCs w:val="20"/>
        </w:rPr>
        <w:t>Yannick L’</w:t>
      </w:r>
      <w:proofErr w:type="spellStart"/>
      <w:r w:rsidRPr="002A6793">
        <w:rPr>
          <w:bCs/>
          <w:sz w:val="20"/>
          <w:szCs w:val="20"/>
        </w:rPr>
        <w:t>H</w:t>
      </w:r>
      <w:r w:rsidR="003E1427" w:rsidRPr="003E1427">
        <w:rPr>
          <w:bCs/>
          <w:smallCaps/>
          <w:sz w:val="20"/>
          <w:szCs w:val="20"/>
        </w:rPr>
        <w:t>orty</w:t>
      </w:r>
      <w:proofErr w:type="spellEnd"/>
      <w:r w:rsidRPr="002A6793">
        <w:rPr>
          <w:bCs/>
          <w:sz w:val="20"/>
          <w:szCs w:val="20"/>
        </w:rPr>
        <w:t xml:space="preserve">, Université Paris-Est, ERUDITE et TEPP-CNRS (FR 3435), </w:t>
      </w:r>
      <w:hyperlink r:id="rId2" w:history="1">
        <w:r w:rsidRPr="002A6793">
          <w:rPr>
            <w:rStyle w:val="Lienhypertexte"/>
            <w:bCs/>
            <w:sz w:val="20"/>
            <w:szCs w:val="20"/>
          </w:rPr>
          <w:t>yannick.lhorty@u-pem.fr</w:t>
        </w:r>
      </w:hyperlink>
      <w:r w:rsidRPr="002A6793">
        <w:rPr>
          <w:rStyle w:val="Lienhypertexte"/>
          <w:bCs/>
          <w:sz w:val="20"/>
          <w:szCs w:val="20"/>
        </w:rPr>
        <w:t xml:space="preserve"> . </w:t>
      </w:r>
    </w:p>
  </w:footnote>
  <w:footnote w:id="3">
    <w:p w14:paraId="38A25C24" w14:textId="7A7A9051" w:rsidR="002A6793" w:rsidRPr="002A6793" w:rsidRDefault="002A6793" w:rsidP="00A77CBA">
      <w:pPr>
        <w:tabs>
          <w:tab w:val="left" w:pos="360"/>
          <w:tab w:val="left" w:pos="540"/>
        </w:tabs>
        <w:jc w:val="both"/>
        <w:rPr>
          <w:bCs/>
          <w:sz w:val="20"/>
          <w:szCs w:val="20"/>
        </w:rPr>
      </w:pPr>
      <w:r w:rsidRPr="002A6793">
        <w:rPr>
          <w:rStyle w:val="Appelnotedebasdep"/>
          <w:sz w:val="20"/>
          <w:szCs w:val="20"/>
        </w:rPr>
        <w:footnoteRef/>
      </w:r>
      <w:r w:rsidRPr="002A6793">
        <w:rPr>
          <w:sz w:val="20"/>
          <w:szCs w:val="20"/>
        </w:rPr>
        <w:t xml:space="preserve"> Xi Y</w:t>
      </w:r>
      <w:r w:rsidRPr="002A6793">
        <w:rPr>
          <w:smallCaps/>
          <w:sz w:val="20"/>
          <w:szCs w:val="20"/>
        </w:rPr>
        <w:t>ang</w:t>
      </w:r>
      <w:r w:rsidRPr="002A6793">
        <w:rPr>
          <w:bCs/>
          <w:sz w:val="20"/>
          <w:szCs w:val="20"/>
        </w:rPr>
        <w:t xml:space="preserve">,  et TEPP-CNRS (FR 3435), </w:t>
      </w:r>
      <w:r w:rsidRPr="002A6793">
        <w:rPr>
          <w:sz w:val="20"/>
          <w:szCs w:val="20"/>
        </w:rPr>
        <w:t>Université Paris-Ouest Nanterre la Défense, ECONOMIX,</w:t>
      </w:r>
    </w:p>
    <w:p w14:paraId="73FB0AF0" w14:textId="47B59483" w:rsidR="002A6793" w:rsidRPr="002A6793" w:rsidRDefault="002A6793" w:rsidP="00A77CBA">
      <w:pPr>
        <w:tabs>
          <w:tab w:val="left" w:pos="360"/>
          <w:tab w:val="left" w:pos="540"/>
        </w:tabs>
        <w:jc w:val="both"/>
        <w:rPr>
          <w:bCs/>
          <w:sz w:val="20"/>
          <w:szCs w:val="20"/>
        </w:rPr>
      </w:pPr>
      <w:r w:rsidRPr="002A6793">
        <w:rPr>
          <w:bCs/>
          <w:sz w:val="20"/>
          <w:szCs w:val="20"/>
        </w:rPr>
        <w:t>.</w:t>
      </w:r>
    </w:p>
    <w:p w14:paraId="293D9839" w14:textId="52AD78B1" w:rsidR="002A6793" w:rsidRDefault="002A6793" w:rsidP="0005264D">
      <w:pPr>
        <w:tabs>
          <w:tab w:val="left" w:pos="360"/>
          <w:tab w:val="left" w:pos="540"/>
        </w:tabs>
        <w:jc w:val="both"/>
        <w:rPr>
          <w:bCs/>
          <w:sz w:val="20"/>
          <w:szCs w:val="20"/>
        </w:rPr>
      </w:pPr>
    </w:p>
    <w:p w14:paraId="3B0589AA" w14:textId="77777777" w:rsidR="002A6793" w:rsidRDefault="002A6793" w:rsidP="0005264D">
      <w:pPr>
        <w:tabs>
          <w:tab w:val="left" w:pos="360"/>
          <w:tab w:val="left" w:pos="540"/>
        </w:tabs>
        <w:jc w:val="both"/>
        <w:rPr>
          <w:bCs/>
          <w:sz w:val="20"/>
          <w:szCs w:val="20"/>
        </w:rPr>
      </w:pPr>
    </w:p>
    <w:p w14:paraId="5E7F191F" w14:textId="443C9DCB" w:rsidR="002A6793" w:rsidRPr="00A01637" w:rsidRDefault="002A6793" w:rsidP="00166522">
      <w:pPr>
        <w:pStyle w:val="NormalWeb"/>
        <w:jc w:val="both"/>
        <w:rPr>
          <w:bCs/>
          <w:sz w:val="20"/>
          <w:szCs w:val="20"/>
        </w:rPr>
      </w:pPr>
      <w:r>
        <w:rPr>
          <w:bCs/>
          <w:sz w:val="20"/>
          <w:szCs w:val="20"/>
        </w:rPr>
        <w:t>Cette étude a été réalisé</w:t>
      </w:r>
      <w:r w:rsidR="00B24524">
        <w:rPr>
          <w:bCs/>
          <w:sz w:val="20"/>
          <w:szCs w:val="20"/>
        </w:rPr>
        <w:t>e</w:t>
      </w:r>
      <w:r>
        <w:rPr>
          <w:bCs/>
          <w:sz w:val="20"/>
          <w:szCs w:val="20"/>
        </w:rPr>
        <w:t xml:space="preserve"> dans le cadre d’une convention avec France Stratégie</w:t>
      </w:r>
      <w:r w:rsidR="00B24524">
        <w:rPr>
          <w:bCs/>
          <w:sz w:val="20"/>
          <w:szCs w:val="20"/>
        </w:rPr>
        <w:t xml:space="preserve"> dont l’objet </w:t>
      </w:r>
      <w:r w:rsidR="00B24524" w:rsidRPr="00B24524">
        <w:rPr>
          <w:bCs/>
          <w:sz w:val="20"/>
          <w:szCs w:val="20"/>
        </w:rPr>
        <w:t xml:space="preserve">était </w:t>
      </w:r>
      <w:r w:rsidR="00B24524">
        <w:rPr>
          <w:bCs/>
          <w:sz w:val="20"/>
          <w:szCs w:val="20"/>
        </w:rPr>
        <w:t xml:space="preserve">de produire une </w:t>
      </w:r>
      <w:r w:rsidR="00B24524" w:rsidRPr="00B24524">
        <w:rPr>
          <w:bCs/>
          <w:sz w:val="20"/>
          <w:szCs w:val="20"/>
        </w:rPr>
        <w:t>éva</w:t>
      </w:r>
      <w:r w:rsidR="00B24524">
        <w:rPr>
          <w:bCs/>
          <w:sz w:val="20"/>
          <w:szCs w:val="20"/>
        </w:rPr>
        <w:t>luation</w:t>
      </w:r>
      <w:r w:rsidR="00B24524" w:rsidRPr="00B24524">
        <w:rPr>
          <w:bCs/>
          <w:sz w:val="20"/>
          <w:szCs w:val="20"/>
        </w:rPr>
        <w:t xml:space="preserve"> </w:t>
      </w:r>
      <w:r w:rsidR="00B24524" w:rsidRPr="003E1427">
        <w:rPr>
          <w:bCs/>
          <w:i/>
          <w:sz w:val="20"/>
          <w:szCs w:val="20"/>
        </w:rPr>
        <w:t>ex post</w:t>
      </w:r>
      <w:r w:rsidR="00B24524" w:rsidRPr="00B24524">
        <w:rPr>
          <w:bCs/>
          <w:sz w:val="20"/>
          <w:szCs w:val="20"/>
        </w:rPr>
        <w:t xml:space="preserve"> du CICE à partir de micro-données d’entreprises, </w:t>
      </w:r>
      <w:r w:rsidR="00B24524">
        <w:rPr>
          <w:bCs/>
          <w:sz w:val="20"/>
          <w:szCs w:val="20"/>
        </w:rPr>
        <w:t xml:space="preserve">dont le titre était </w:t>
      </w:r>
      <w:proofErr w:type="spellStart"/>
      <w:r w:rsidR="00B24524" w:rsidRPr="00B24524">
        <w:rPr>
          <w:bCs/>
          <w:sz w:val="20"/>
          <w:szCs w:val="20"/>
        </w:rPr>
        <w:t>EXpérimenter</w:t>
      </w:r>
      <w:proofErr w:type="spellEnd"/>
      <w:r w:rsidR="00B24524" w:rsidRPr="00B24524">
        <w:rPr>
          <w:bCs/>
          <w:sz w:val="20"/>
          <w:szCs w:val="20"/>
        </w:rPr>
        <w:t xml:space="preserve"> une Evaluation Rigoureuse du Crédit d’Impôt pour la </w:t>
      </w:r>
      <w:proofErr w:type="spellStart"/>
      <w:r w:rsidR="00B24524" w:rsidRPr="00B24524">
        <w:rPr>
          <w:bCs/>
          <w:sz w:val="20"/>
          <w:szCs w:val="20"/>
        </w:rPr>
        <w:t>Compétivité</w:t>
      </w:r>
      <w:proofErr w:type="spellEnd"/>
      <w:r w:rsidR="00B24524" w:rsidRPr="00B24524">
        <w:rPr>
          <w:bCs/>
          <w:sz w:val="20"/>
          <w:szCs w:val="20"/>
        </w:rPr>
        <w:t xml:space="preserve"> et l’Emploi (EXERCICE). </w:t>
      </w:r>
      <w:r>
        <w:rPr>
          <w:bCs/>
          <w:sz w:val="20"/>
          <w:szCs w:val="20"/>
        </w:rPr>
        <w:t xml:space="preserve"> </w:t>
      </w:r>
    </w:p>
    <w:p w14:paraId="4CF39659" w14:textId="30FFD9CA" w:rsidR="002A6793" w:rsidRPr="00A01637" w:rsidRDefault="002A6793" w:rsidP="0005264D">
      <w:pPr>
        <w:tabs>
          <w:tab w:val="left" w:pos="360"/>
          <w:tab w:val="left" w:pos="540"/>
        </w:tabs>
        <w:jc w:val="both"/>
        <w:rPr>
          <w:bCs/>
          <w:u w:val="single"/>
        </w:rPr>
      </w:pPr>
    </w:p>
  </w:footnote>
  <w:footnote w:id="4">
    <w:p w14:paraId="16710A76" w14:textId="77777777" w:rsidR="003E1427" w:rsidRPr="008272DF" w:rsidRDefault="003E1427" w:rsidP="003E1427">
      <w:pPr>
        <w:pStyle w:val="Notedebasdepage"/>
      </w:pPr>
      <w:r>
        <w:rPr>
          <w:rStyle w:val="Appelnotedebasdep"/>
        </w:rPr>
        <w:footnoteRef/>
      </w:r>
      <w:r w:rsidRPr="008272DF">
        <w:t xml:space="preserve"> La méthode du score de propension consis</w:t>
      </w:r>
      <w:r>
        <w:t>te à</w:t>
      </w:r>
      <w:r w:rsidRPr="008272DF">
        <w:t xml:space="preserve"> effectuer un appariement entre les entreprises traitées et non traitées non pas sur la base de l’ensemble des variables observables dans la base mais</w:t>
      </w:r>
      <w:r>
        <w:t xml:space="preserve"> sur la base de la probabilité conditionnelle d’être traité. </w:t>
      </w:r>
    </w:p>
  </w:footnote>
  <w:footnote w:id="5">
    <w:p w14:paraId="09AB1BA6" w14:textId="77777777" w:rsidR="003E1427" w:rsidRPr="004D47D6" w:rsidRDefault="003E1427" w:rsidP="003E1427">
      <w:pPr>
        <w:pStyle w:val="Notedebasdepage"/>
      </w:pPr>
      <w:r>
        <w:rPr>
          <w:rStyle w:val="Appelnotedebasdep"/>
        </w:rPr>
        <w:footnoteRef/>
      </w:r>
      <w:r>
        <w:t xml:space="preserve"> </w:t>
      </w:r>
      <w:r w:rsidRPr="004D47D6">
        <w:rPr>
          <w:szCs w:val="16"/>
        </w:rPr>
        <w:t xml:space="preserve">Voir les travaux de Crépon et </w:t>
      </w:r>
      <w:proofErr w:type="gramStart"/>
      <w:r w:rsidRPr="004D47D6">
        <w:rPr>
          <w:szCs w:val="16"/>
        </w:rPr>
        <w:t>al.,</w:t>
      </w:r>
      <w:proofErr w:type="gramEnd"/>
      <w:r w:rsidRPr="004D47D6">
        <w:rPr>
          <w:szCs w:val="16"/>
        </w:rPr>
        <w:t xml:space="preserve"> (2013) et de </w:t>
      </w:r>
      <w:proofErr w:type="spellStart"/>
      <w:r w:rsidRPr="004D47D6">
        <w:rPr>
          <w:szCs w:val="16"/>
        </w:rPr>
        <w:t>Ferracci</w:t>
      </w:r>
      <w:proofErr w:type="spellEnd"/>
      <w:r w:rsidRPr="004D47D6">
        <w:rPr>
          <w:szCs w:val="16"/>
        </w:rPr>
        <w:t>, Jolivet, Van den Berg (2014) sur l’aide aux chômeurs ou sur les effets de la formation professionnelle qui soulignent l’importance de ces effets.</w:t>
      </w:r>
      <w:r w:rsidRPr="004D47D6">
        <w:rPr>
          <w:sz w:val="28"/>
          <w:szCs w:val="23"/>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551E"/>
    <w:multiLevelType w:val="multilevel"/>
    <w:tmpl w:val="3826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C4CF8"/>
    <w:multiLevelType w:val="multilevel"/>
    <w:tmpl w:val="1D8A79C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C2C274B"/>
    <w:multiLevelType w:val="hybridMultilevel"/>
    <w:tmpl w:val="875A0C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D2636F6"/>
    <w:multiLevelType w:val="hybridMultilevel"/>
    <w:tmpl w:val="611E2F02"/>
    <w:lvl w:ilvl="0" w:tplc="D59C46E6">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CA039A"/>
    <w:multiLevelType w:val="hybridMultilevel"/>
    <w:tmpl w:val="72BAB0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3D34926"/>
    <w:multiLevelType w:val="hybridMultilevel"/>
    <w:tmpl w:val="78B08E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7D160DA"/>
    <w:multiLevelType w:val="hybridMultilevel"/>
    <w:tmpl w:val="F260CBCC"/>
    <w:lvl w:ilvl="0" w:tplc="64184B8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6180F41"/>
    <w:multiLevelType w:val="hybridMultilevel"/>
    <w:tmpl w:val="78B08E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7BF4643"/>
    <w:multiLevelType w:val="hybridMultilevel"/>
    <w:tmpl w:val="78B08E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3293E97"/>
    <w:multiLevelType w:val="hybridMultilevel"/>
    <w:tmpl w:val="42AAEBB4"/>
    <w:lvl w:ilvl="0" w:tplc="6352C95C">
      <w:start w:val="1"/>
      <w:numFmt w:val="decimal"/>
      <w:lvlText w:val="%1)"/>
      <w:lvlJc w:val="left"/>
      <w:pPr>
        <w:ind w:left="720" w:hanging="36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3E316E3"/>
    <w:multiLevelType w:val="hybridMultilevel"/>
    <w:tmpl w:val="78B08E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6F86386"/>
    <w:multiLevelType w:val="hybridMultilevel"/>
    <w:tmpl w:val="BF688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7"/>
  </w:num>
  <w:num w:numId="5">
    <w:abstractNumId w:val="8"/>
  </w:num>
  <w:num w:numId="6">
    <w:abstractNumId w:val="3"/>
  </w:num>
  <w:num w:numId="7">
    <w:abstractNumId w:val="0"/>
  </w:num>
  <w:num w:numId="8">
    <w:abstractNumId w:val="11"/>
  </w:num>
  <w:num w:numId="9">
    <w:abstractNumId w:val="1"/>
  </w:num>
  <w:num w:numId="10">
    <w:abstractNumId w:val="6"/>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31F"/>
    <w:rsid w:val="0000168C"/>
    <w:rsid w:val="00013B19"/>
    <w:rsid w:val="00016D99"/>
    <w:rsid w:val="00016E84"/>
    <w:rsid w:val="00017A51"/>
    <w:rsid w:val="00023C36"/>
    <w:rsid w:val="00025682"/>
    <w:rsid w:val="00027028"/>
    <w:rsid w:val="0003034D"/>
    <w:rsid w:val="00032193"/>
    <w:rsid w:val="00035A4F"/>
    <w:rsid w:val="0003727A"/>
    <w:rsid w:val="00041BC5"/>
    <w:rsid w:val="00042C5A"/>
    <w:rsid w:val="00043EFC"/>
    <w:rsid w:val="00044ED2"/>
    <w:rsid w:val="000514B5"/>
    <w:rsid w:val="0005264D"/>
    <w:rsid w:val="000615C8"/>
    <w:rsid w:val="00061844"/>
    <w:rsid w:val="0006656A"/>
    <w:rsid w:val="00071FCE"/>
    <w:rsid w:val="00072E7A"/>
    <w:rsid w:val="000814B3"/>
    <w:rsid w:val="00090EA2"/>
    <w:rsid w:val="000A17D7"/>
    <w:rsid w:val="000A188D"/>
    <w:rsid w:val="000A4AAB"/>
    <w:rsid w:val="000A7988"/>
    <w:rsid w:val="000B33B9"/>
    <w:rsid w:val="000B6323"/>
    <w:rsid w:val="000C11E2"/>
    <w:rsid w:val="000C3E21"/>
    <w:rsid w:val="000F4FF0"/>
    <w:rsid w:val="001030BD"/>
    <w:rsid w:val="00103911"/>
    <w:rsid w:val="00105940"/>
    <w:rsid w:val="00112755"/>
    <w:rsid w:val="0011380E"/>
    <w:rsid w:val="00114180"/>
    <w:rsid w:val="0011607D"/>
    <w:rsid w:val="00122444"/>
    <w:rsid w:val="00122A72"/>
    <w:rsid w:val="00124CDC"/>
    <w:rsid w:val="00126595"/>
    <w:rsid w:val="00132618"/>
    <w:rsid w:val="00134135"/>
    <w:rsid w:val="00136FE8"/>
    <w:rsid w:val="00137854"/>
    <w:rsid w:val="00143280"/>
    <w:rsid w:val="00147751"/>
    <w:rsid w:val="0015038E"/>
    <w:rsid w:val="00152593"/>
    <w:rsid w:val="00152A1F"/>
    <w:rsid w:val="0015569E"/>
    <w:rsid w:val="00155BEF"/>
    <w:rsid w:val="00166203"/>
    <w:rsid w:val="00166522"/>
    <w:rsid w:val="00174641"/>
    <w:rsid w:val="00176457"/>
    <w:rsid w:val="00176F37"/>
    <w:rsid w:val="001822E0"/>
    <w:rsid w:val="00182AA9"/>
    <w:rsid w:val="00183DEC"/>
    <w:rsid w:val="00185A68"/>
    <w:rsid w:val="001A2F65"/>
    <w:rsid w:val="001A4B73"/>
    <w:rsid w:val="001B54CB"/>
    <w:rsid w:val="001B59C0"/>
    <w:rsid w:val="001C0A58"/>
    <w:rsid w:val="001C2D21"/>
    <w:rsid w:val="001C37C1"/>
    <w:rsid w:val="001D0773"/>
    <w:rsid w:val="001D56D4"/>
    <w:rsid w:val="001D5914"/>
    <w:rsid w:val="001D769F"/>
    <w:rsid w:val="001E09D3"/>
    <w:rsid w:val="001E5794"/>
    <w:rsid w:val="001E60D8"/>
    <w:rsid w:val="00200767"/>
    <w:rsid w:val="00200ABA"/>
    <w:rsid w:val="00200D1E"/>
    <w:rsid w:val="002016D7"/>
    <w:rsid w:val="00202C5D"/>
    <w:rsid w:val="00203B5E"/>
    <w:rsid w:val="0020790F"/>
    <w:rsid w:val="002122A4"/>
    <w:rsid w:val="00216D3F"/>
    <w:rsid w:val="002206FB"/>
    <w:rsid w:val="00225972"/>
    <w:rsid w:val="00230FAF"/>
    <w:rsid w:val="00237B68"/>
    <w:rsid w:val="00237FD7"/>
    <w:rsid w:val="00242028"/>
    <w:rsid w:val="0024709A"/>
    <w:rsid w:val="002505D1"/>
    <w:rsid w:val="00252F27"/>
    <w:rsid w:val="00254B21"/>
    <w:rsid w:val="00254B78"/>
    <w:rsid w:val="0025715D"/>
    <w:rsid w:val="00262328"/>
    <w:rsid w:val="002675AD"/>
    <w:rsid w:val="0027075D"/>
    <w:rsid w:val="00270EC3"/>
    <w:rsid w:val="0028590A"/>
    <w:rsid w:val="00285FF0"/>
    <w:rsid w:val="002876A5"/>
    <w:rsid w:val="00290BA6"/>
    <w:rsid w:val="002A21A8"/>
    <w:rsid w:val="002A6793"/>
    <w:rsid w:val="002C3FCD"/>
    <w:rsid w:val="002C7646"/>
    <w:rsid w:val="002D7A2C"/>
    <w:rsid w:val="002E0374"/>
    <w:rsid w:val="002E3C9C"/>
    <w:rsid w:val="002F405A"/>
    <w:rsid w:val="002F5593"/>
    <w:rsid w:val="00302F43"/>
    <w:rsid w:val="003053EE"/>
    <w:rsid w:val="003063B8"/>
    <w:rsid w:val="00306938"/>
    <w:rsid w:val="003108B3"/>
    <w:rsid w:val="0032066F"/>
    <w:rsid w:val="003333A3"/>
    <w:rsid w:val="003368F6"/>
    <w:rsid w:val="00343B6C"/>
    <w:rsid w:val="003534D4"/>
    <w:rsid w:val="003549FA"/>
    <w:rsid w:val="00357072"/>
    <w:rsid w:val="003729E0"/>
    <w:rsid w:val="00386CE5"/>
    <w:rsid w:val="00392E0D"/>
    <w:rsid w:val="0039498F"/>
    <w:rsid w:val="003958FF"/>
    <w:rsid w:val="003A1F9E"/>
    <w:rsid w:val="003A2E36"/>
    <w:rsid w:val="003A52BC"/>
    <w:rsid w:val="003A6667"/>
    <w:rsid w:val="003B027D"/>
    <w:rsid w:val="003B6645"/>
    <w:rsid w:val="003D2E04"/>
    <w:rsid w:val="003D33F5"/>
    <w:rsid w:val="003D550E"/>
    <w:rsid w:val="003D5B01"/>
    <w:rsid w:val="003D7AD9"/>
    <w:rsid w:val="003E1427"/>
    <w:rsid w:val="003F2317"/>
    <w:rsid w:val="003F4662"/>
    <w:rsid w:val="003F639F"/>
    <w:rsid w:val="0040328B"/>
    <w:rsid w:val="00403B92"/>
    <w:rsid w:val="00403F57"/>
    <w:rsid w:val="00405FC7"/>
    <w:rsid w:val="0040672D"/>
    <w:rsid w:val="00410FE1"/>
    <w:rsid w:val="00411385"/>
    <w:rsid w:val="00413E5F"/>
    <w:rsid w:val="004150FF"/>
    <w:rsid w:val="004239D5"/>
    <w:rsid w:val="0043406A"/>
    <w:rsid w:val="0043744B"/>
    <w:rsid w:val="004421D1"/>
    <w:rsid w:val="00442DA4"/>
    <w:rsid w:val="00460BF1"/>
    <w:rsid w:val="004635A6"/>
    <w:rsid w:val="004640CA"/>
    <w:rsid w:val="00472DC4"/>
    <w:rsid w:val="00475851"/>
    <w:rsid w:val="00476DB7"/>
    <w:rsid w:val="004775B3"/>
    <w:rsid w:val="00477DA6"/>
    <w:rsid w:val="00480B71"/>
    <w:rsid w:val="004819E9"/>
    <w:rsid w:val="00487A96"/>
    <w:rsid w:val="004A283C"/>
    <w:rsid w:val="004B3637"/>
    <w:rsid w:val="004B5AA3"/>
    <w:rsid w:val="004C0F07"/>
    <w:rsid w:val="004C6574"/>
    <w:rsid w:val="004D3078"/>
    <w:rsid w:val="004D4D45"/>
    <w:rsid w:val="004E2AF0"/>
    <w:rsid w:val="004F0A6E"/>
    <w:rsid w:val="004F1FCC"/>
    <w:rsid w:val="004F2310"/>
    <w:rsid w:val="004F4E47"/>
    <w:rsid w:val="004F6C36"/>
    <w:rsid w:val="00501233"/>
    <w:rsid w:val="005041E7"/>
    <w:rsid w:val="00504576"/>
    <w:rsid w:val="00504DD1"/>
    <w:rsid w:val="00506459"/>
    <w:rsid w:val="00506580"/>
    <w:rsid w:val="00521186"/>
    <w:rsid w:val="00523FF5"/>
    <w:rsid w:val="005317A2"/>
    <w:rsid w:val="00532646"/>
    <w:rsid w:val="00532DC7"/>
    <w:rsid w:val="0054499B"/>
    <w:rsid w:val="0054499C"/>
    <w:rsid w:val="00547056"/>
    <w:rsid w:val="005611D2"/>
    <w:rsid w:val="00566351"/>
    <w:rsid w:val="005665AA"/>
    <w:rsid w:val="00567ED9"/>
    <w:rsid w:val="00574C62"/>
    <w:rsid w:val="00595C7D"/>
    <w:rsid w:val="005964F1"/>
    <w:rsid w:val="005976CC"/>
    <w:rsid w:val="005A4BD1"/>
    <w:rsid w:val="005B70C8"/>
    <w:rsid w:val="005B789F"/>
    <w:rsid w:val="005C32C3"/>
    <w:rsid w:val="005D2BFF"/>
    <w:rsid w:val="005D2F71"/>
    <w:rsid w:val="005D52BE"/>
    <w:rsid w:val="005D63F7"/>
    <w:rsid w:val="005E33EB"/>
    <w:rsid w:val="005F2AE5"/>
    <w:rsid w:val="005F70B8"/>
    <w:rsid w:val="0060000D"/>
    <w:rsid w:val="00603EF4"/>
    <w:rsid w:val="00616817"/>
    <w:rsid w:val="00616A79"/>
    <w:rsid w:val="00617367"/>
    <w:rsid w:val="006228AB"/>
    <w:rsid w:val="00624A61"/>
    <w:rsid w:val="00645377"/>
    <w:rsid w:val="006463B8"/>
    <w:rsid w:val="00647663"/>
    <w:rsid w:val="006537A6"/>
    <w:rsid w:val="00653D38"/>
    <w:rsid w:val="00661C5B"/>
    <w:rsid w:val="006661C7"/>
    <w:rsid w:val="00671D51"/>
    <w:rsid w:val="006761CC"/>
    <w:rsid w:val="00676560"/>
    <w:rsid w:val="0068478A"/>
    <w:rsid w:val="00685F92"/>
    <w:rsid w:val="00686E57"/>
    <w:rsid w:val="00690C3A"/>
    <w:rsid w:val="00693E39"/>
    <w:rsid w:val="006A09AF"/>
    <w:rsid w:val="006A5E66"/>
    <w:rsid w:val="006B60D6"/>
    <w:rsid w:val="006B6FE6"/>
    <w:rsid w:val="006C5E9E"/>
    <w:rsid w:val="006D3CFC"/>
    <w:rsid w:val="006D7478"/>
    <w:rsid w:val="006E09C3"/>
    <w:rsid w:val="006E199C"/>
    <w:rsid w:val="006E529E"/>
    <w:rsid w:val="006E60D7"/>
    <w:rsid w:val="006F3B5E"/>
    <w:rsid w:val="006F45AD"/>
    <w:rsid w:val="006F4A31"/>
    <w:rsid w:val="00700B6A"/>
    <w:rsid w:val="00703512"/>
    <w:rsid w:val="007062D0"/>
    <w:rsid w:val="00713A85"/>
    <w:rsid w:val="00723903"/>
    <w:rsid w:val="00731C1E"/>
    <w:rsid w:val="007371FA"/>
    <w:rsid w:val="00747F92"/>
    <w:rsid w:val="00751599"/>
    <w:rsid w:val="00751CC8"/>
    <w:rsid w:val="00751DF0"/>
    <w:rsid w:val="00760729"/>
    <w:rsid w:val="00763C80"/>
    <w:rsid w:val="00764D9C"/>
    <w:rsid w:val="00765E00"/>
    <w:rsid w:val="0077668B"/>
    <w:rsid w:val="00777A82"/>
    <w:rsid w:val="00777D52"/>
    <w:rsid w:val="0078152C"/>
    <w:rsid w:val="00781C4A"/>
    <w:rsid w:val="007834A2"/>
    <w:rsid w:val="00794FA9"/>
    <w:rsid w:val="007966DD"/>
    <w:rsid w:val="00796A44"/>
    <w:rsid w:val="007A57A2"/>
    <w:rsid w:val="007B4807"/>
    <w:rsid w:val="007B7838"/>
    <w:rsid w:val="007C06D8"/>
    <w:rsid w:val="007C1F6C"/>
    <w:rsid w:val="007C697C"/>
    <w:rsid w:val="007D2E49"/>
    <w:rsid w:val="007E0BB4"/>
    <w:rsid w:val="007E4C26"/>
    <w:rsid w:val="007E565A"/>
    <w:rsid w:val="007E711C"/>
    <w:rsid w:val="007E7276"/>
    <w:rsid w:val="007F04DA"/>
    <w:rsid w:val="007F0D50"/>
    <w:rsid w:val="007F241A"/>
    <w:rsid w:val="007F50E2"/>
    <w:rsid w:val="007F5ACF"/>
    <w:rsid w:val="00802759"/>
    <w:rsid w:val="008065A0"/>
    <w:rsid w:val="00807235"/>
    <w:rsid w:val="00811650"/>
    <w:rsid w:val="00812617"/>
    <w:rsid w:val="00812FE3"/>
    <w:rsid w:val="0081347D"/>
    <w:rsid w:val="00815A6D"/>
    <w:rsid w:val="008171DB"/>
    <w:rsid w:val="008206E2"/>
    <w:rsid w:val="00827CA5"/>
    <w:rsid w:val="00832114"/>
    <w:rsid w:val="00835AF8"/>
    <w:rsid w:val="00835DE2"/>
    <w:rsid w:val="0084079D"/>
    <w:rsid w:val="00841A6B"/>
    <w:rsid w:val="00845494"/>
    <w:rsid w:val="0085062A"/>
    <w:rsid w:val="00853155"/>
    <w:rsid w:val="00853F85"/>
    <w:rsid w:val="00856E27"/>
    <w:rsid w:val="00861A09"/>
    <w:rsid w:val="00865A30"/>
    <w:rsid w:val="008708D7"/>
    <w:rsid w:val="00870C1C"/>
    <w:rsid w:val="00870D03"/>
    <w:rsid w:val="00874737"/>
    <w:rsid w:val="008762DE"/>
    <w:rsid w:val="0088132B"/>
    <w:rsid w:val="00886032"/>
    <w:rsid w:val="00891ECF"/>
    <w:rsid w:val="008921A2"/>
    <w:rsid w:val="00893B35"/>
    <w:rsid w:val="008A493C"/>
    <w:rsid w:val="008B3AE5"/>
    <w:rsid w:val="008B4E97"/>
    <w:rsid w:val="008C12DF"/>
    <w:rsid w:val="008C2288"/>
    <w:rsid w:val="008C4A5A"/>
    <w:rsid w:val="008C4BAD"/>
    <w:rsid w:val="008C6D19"/>
    <w:rsid w:val="008C6F34"/>
    <w:rsid w:val="008D27D4"/>
    <w:rsid w:val="008D2C32"/>
    <w:rsid w:val="008D379D"/>
    <w:rsid w:val="008E0931"/>
    <w:rsid w:val="008E3206"/>
    <w:rsid w:val="008E47D4"/>
    <w:rsid w:val="008E543E"/>
    <w:rsid w:val="008E5526"/>
    <w:rsid w:val="008E7ED8"/>
    <w:rsid w:val="008F37B6"/>
    <w:rsid w:val="00900CE4"/>
    <w:rsid w:val="00913796"/>
    <w:rsid w:val="00913D28"/>
    <w:rsid w:val="009238AD"/>
    <w:rsid w:val="00924D28"/>
    <w:rsid w:val="00925BDA"/>
    <w:rsid w:val="009307F3"/>
    <w:rsid w:val="0093778A"/>
    <w:rsid w:val="00937B08"/>
    <w:rsid w:val="009406B4"/>
    <w:rsid w:val="00941FDB"/>
    <w:rsid w:val="009457FB"/>
    <w:rsid w:val="00945944"/>
    <w:rsid w:val="00955EE2"/>
    <w:rsid w:val="00960131"/>
    <w:rsid w:val="009612F9"/>
    <w:rsid w:val="009617CC"/>
    <w:rsid w:val="009675BB"/>
    <w:rsid w:val="00975E54"/>
    <w:rsid w:val="00996C87"/>
    <w:rsid w:val="009A1ADE"/>
    <w:rsid w:val="009A3AAE"/>
    <w:rsid w:val="009A5F22"/>
    <w:rsid w:val="009B1136"/>
    <w:rsid w:val="009B13AF"/>
    <w:rsid w:val="009B2AD2"/>
    <w:rsid w:val="009B70D6"/>
    <w:rsid w:val="009C47E0"/>
    <w:rsid w:val="009C499C"/>
    <w:rsid w:val="009D131E"/>
    <w:rsid w:val="009D1D38"/>
    <w:rsid w:val="009D2C2A"/>
    <w:rsid w:val="009D3F9D"/>
    <w:rsid w:val="009D54F4"/>
    <w:rsid w:val="009F36E1"/>
    <w:rsid w:val="00A01637"/>
    <w:rsid w:val="00A079EF"/>
    <w:rsid w:val="00A1154A"/>
    <w:rsid w:val="00A13541"/>
    <w:rsid w:val="00A15D0B"/>
    <w:rsid w:val="00A16F26"/>
    <w:rsid w:val="00A2100A"/>
    <w:rsid w:val="00A22C44"/>
    <w:rsid w:val="00A3231F"/>
    <w:rsid w:val="00A331EF"/>
    <w:rsid w:val="00A40925"/>
    <w:rsid w:val="00A42B83"/>
    <w:rsid w:val="00A476B7"/>
    <w:rsid w:val="00A506C1"/>
    <w:rsid w:val="00A55B8E"/>
    <w:rsid w:val="00A56B5B"/>
    <w:rsid w:val="00A60352"/>
    <w:rsid w:val="00A77B81"/>
    <w:rsid w:val="00A77C04"/>
    <w:rsid w:val="00A77CBA"/>
    <w:rsid w:val="00A81E2E"/>
    <w:rsid w:val="00A8581C"/>
    <w:rsid w:val="00A92CA0"/>
    <w:rsid w:val="00A960B0"/>
    <w:rsid w:val="00AC3E5A"/>
    <w:rsid w:val="00AC53C3"/>
    <w:rsid w:val="00AD137D"/>
    <w:rsid w:val="00AD2F0C"/>
    <w:rsid w:val="00AE0C4F"/>
    <w:rsid w:val="00AE1F83"/>
    <w:rsid w:val="00AF08CD"/>
    <w:rsid w:val="00AF284D"/>
    <w:rsid w:val="00B041A3"/>
    <w:rsid w:val="00B0568B"/>
    <w:rsid w:val="00B07DBD"/>
    <w:rsid w:val="00B10AAA"/>
    <w:rsid w:val="00B12B49"/>
    <w:rsid w:val="00B14223"/>
    <w:rsid w:val="00B24524"/>
    <w:rsid w:val="00B30F5E"/>
    <w:rsid w:val="00B30FB2"/>
    <w:rsid w:val="00B41ED4"/>
    <w:rsid w:val="00B449C5"/>
    <w:rsid w:val="00B45474"/>
    <w:rsid w:val="00B47D81"/>
    <w:rsid w:val="00B508F2"/>
    <w:rsid w:val="00B53CAD"/>
    <w:rsid w:val="00B5563A"/>
    <w:rsid w:val="00B6070C"/>
    <w:rsid w:val="00B6488F"/>
    <w:rsid w:val="00B70010"/>
    <w:rsid w:val="00B72953"/>
    <w:rsid w:val="00B75881"/>
    <w:rsid w:val="00B7628A"/>
    <w:rsid w:val="00B82A8B"/>
    <w:rsid w:val="00B839D3"/>
    <w:rsid w:val="00B910FD"/>
    <w:rsid w:val="00B92E20"/>
    <w:rsid w:val="00B95FBF"/>
    <w:rsid w:val="00BA1D31"/>
    <w:rsid w:val="00BA4E0A"/>
    <w:rsid w:val="00BC2D42"/>
    <w:rsid w:val="00BD106F"/>
    <w:rsid w:val="00BD4625"/>
    <w:rsid w:val="00BD623E"/>
    <w:rsid w:val="00BD6D3A"/>
    <w:rsid w:val="00BD7FCD"/>
    <w:rsid w:val="00BE1876"/>
    <w:rsid w:val="00BE6943"/>
    <w:rsid w:val="00C0620B"/>
    <w:rsid w:val="00C10EE6"/>
    <w:rsid w:val="00C22F2C"/>
    <w:rsid w:val="00C245B0"/>
    <w:rsid w:val="00C40F65"/>
    <w:rsid w:val="00C4419C"/>
    <w:rsid w:val="00C47499"/>
    <w:rsid w:val="00C4755A"/>
    <w:rsid w:val="00C53E5E"/>
    <w:rsid w:val="00C56524"/>
    <w:rsid w:val="00C63563"/>
    <w:rsid w:val="00C74736"/>
    <w:rsid w:val="00C8381B"/>
    <w:rsid w:val="00C8390D"/>
    <w:rsid w:val="00C9319F"/>
    <w:rsid w:val="00C945C3"/>
    <w:rsid w:val="00CA2246"/>
    <w:rsid w:val="00CA27CA"/>
    <w:rsid w:val="00CA2BE2"/>
    <w:rsid w:val="00CA515D"/>
    <w:rsid w:val="00CB0444"/>
    <w:rsid w:val="00CC32DB"/>
    <w:rsid w:val="00CC334F"/>
    <w:rsid w:val="00CD1950"/>
    <w:rsid w:val="00CD4074"/>
    <w:rsid w:val="00CE3159"/>
    <w:rsid w:val="00CE6975"/>
    <w:rsid w:val="00CF41F8"/>
    <w:rsid w:val="00D03C9D"/>
    <w:rsid w:val="00D079CC"/>
    <w:rsid w:val="00D12B29"/>
    <w:rsid w:val="00D16FBB"/>
    <w:rsid w:val="00D17640"/>
    <w:rsid w:val="00D21E82"/>
    <w:rsid w:val="00D22931"/>
    <w:rsid w:val="00D276F5"/>
    <w:rsid w:val="00D3194C"/>
    <w:rsid w:val="00D35873"/>
    <w:rsid w:val="00D40E38"/>
    <w:rsid w:val="00D44F36"/>
    <w:rsid w:val="00D45552"/>
    <w:rsid w:val="00D50154"/>
    <w:rsid w:val="00D50E1A"/>
    <w:rsid w:val="00D512AD"/>
    <w:rsid w:val="00D560FB"/>
    <w:rsid w:val="00D5669F"/>
    <w:rsid w:val="00D659C3"/>
    <w:rsid w:val="00D67029"/>
    <w:rsid w:val="00D7325A"/>
    <w:rsid w:val="00D73A49"/>
    <w:rsid w:val="00D7769D"/>
    <w:rsid w:val="00D81DD8"/>
    <w:rsid w:val="00D91777"/>
    <w:rsid w:val="00D92ACF"/>
    <w:rsid w:val="00D94137"/>
    <w:rsid w:val="00D96332"/>
    <w:rsid w:val="00DA24B7"/>
    <w:rsid w:val="00DA2A1E"/>
    <w:rsid w:val="00DA5C10"/>
    <w:rsid w:val="00DC1801"/>
    <w:rsid w:val="00DC1BA6"/>
    <w:rsid w:val="00DC5A9A"/>
    <w:rsid w:val="00DC67BF"/>
    <w:rsid w:val="00DD3368"/>
    <w:rsid w:val="00DD6794"/>
    <w:rsid w:val="00DE258A"/>
    <w:rsid w:val="00DE4C50"/>
    <w:rsid w:val="00DE4C9F"/>
    <w:rsid w:val="00DF149C"/>
    <w:rsid w:val="00DF1B9A"/>
    <w:rsid w:val="00DF6C79"/>
    <w:rsid w:val="00DF7317"/>
    <w:rsid w:val="00E12862"/>
    <w:rsid w:val="00E14E7F"/>
    <w:rsid w:val="00E15DD4"/>
    <w:rsid w:val="00E16DC5"/>
    <w:rsid w:val="00E20F19"/>
    <w:rsid w:val="00E26DC1"/>
    <w:rsid w:val="00E31463"/>
    <w:rsid w:val="00E321FB"/>
    <w:rsid w:val="00E41D06"/>
    <w:rsid w:val="00E42768"/>
    <w:rsid w:val="00E4377D"/>
    <w:rsid w:val="00E43D2C"/>
    <w:rsid w:val="00E447E8"/>
    <w:rsid w:val="00E45343"/>
    <w:rsid w:val="00E50704"/>
    <w:rsid w:val="00E54852"/>
    <w:rsid w:val="00E625CD"/>
    <w:rsid w:val="00E67F37"/>
    <w:rsid w:val="00E71F72"/>
    <w:rsid w:val="00E742FD"/>
    <w:rsid w:val="00E855A6"/>
    <w:rsid w:val="00E9611E"/>
    <w:rsid w:val="00EA0F1F"/>
    <w:rsid w:val="00EA38C7"/>
    <w:rsid w:val="00EB35E2"/>
    <w:rsid w:val="00EB5F21"/>
    <w:rsid w:val="00EC2BC6"/>
    <w:rsid w:val="00EC330B"/>
    <w:rsid w:val="00EC3311"/>
    <w:rsid w:val="00EC7269"/>
    <w:rsid w:val="00EE0F15"/>
    <w:rsid w:val="00EE2B90"/>
    <w:rsid w:val="00EF33C0"/>
    <w:rsid w:val="00EF3DCF"/>
    <w:rsid w:val="00EF5ACA"/>
    <w:rsid w:val="00F01047"/>
    <w:rsid w:val="00F027A2"/>
    <w:rsid w:val="00F03FED"/>
    <w:rsid w:val="00F0615B"/>
    <w:rsid w:val="00F23857"/>
    <w:rsid w:val="00F2581A"/>
    <w:rsid w:val="00F26672"/>
    <w:rsid w:val="00F40AEB"/>
    <w:rsid w:val="00F530C4"/>
    <w:rsid w:val="00F5390D"/>
    <w:rsid w:val="00F601B0"/>
    <w:rsid w:val="00F65A16"/>
    <w:rsid w:val="00F6662F"/>
    <w:rsid w:val="00F715AD"/>
    <w:rsid w:val="00F73568"/>
    <w:rsid w:val="00F73C38"/>
    <w:rsid w:val="00F82821"/>
    <w:rsid w:val="00F846E9"/>
    <w:rsid w:val="00F855A1"/>
    <w:rsid w:val="00F864B8"/>
    <w:rsid w:val="00F90F96"/>
    <w:rsid w:val="00F92C73"/>
    <w:rsid w:val="00F94CA6"/>
    <w:rsid w:val="00F9523E"/>
    <w:rsid w:val="00F97BB6"/>
    <w:rsid w:val="00FA4ADA"/>
    <w:rsid w:val="00FB5F9E"/>
    <w:rsid w:val="00FD01CC"/>
    <w:rsid w:val="00FD6178"/>
    <w:rsid w:val="00FE586D"/>
    <w:rsid w:val="00FE6993"/>
    <w:rsid w:val="00FE769F"/>
    <w:rsid w:val="00FF259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31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2470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B245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A3231F"/>
    <w:pPr>
      <w:keepNext/>
      <w:jc w:val="right"/>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A3231F"/>
    <w:rPr>
      <w:rFonts w:ascii="Times New Roman" w:eastAsia="Times New Roman" w:hAnsi="Times New Roman" w:cs="Times New Roman"/>
      <w:b/>
      <w:bCs/>
      <w:sz w:val="24"/>
      <w:szCs w:val="24"/>
      <w:lang w:eastAsia="fr-FR"/>
    </w:rPr>
  </w:style>
  <w:style w:type="character" w:styleId="Lienhypertexte">
    <w:name w:val="Hyperlink"/>
    <w:uiPriority w:val="99"/>
    <w:rsid w:val="00A3231F"/>
    <w:rPr>
      <w:color w:val="0000FF"/>
      <w:u w:val="single"/>
    </w:rPr>
  </w:style>
  <w:style w:type="paragraph" w:styleId="Corpsdetexte">
    <w:name w:val="Body Text"/>
    <w:basedOn w:val="Normal"/>
    <w:link w:val="CorpsdetexteCar"/>
    <w:uiPriority w:val="99"/>
    <w:unhideWhenUsed/>
    <w:rsid w:val="00A3231F"/>
    <w:pPr>
      <w:spacing w:before="120" w:after="120"/>
      <w:jc w:val="both"/>
    </w:pPr>
    <w:rPr>
      <w:sz w:val="22"/>
      <w:szCs w:val="22"/>
      <w:lang w:val="x-none" w:eastAsia="x-none"/>
    </w:rPr>
  </w:style>
  <w:style w:type="character" w:customStyle="1" w:styleId="CorpsdetexteCar">
    <w:name w:val="Corps de texte Car"/>
    <w:basedOn w:val="Policepardfaut"/>
    <w:link w:val="Corpsdetexte"/>
    <w:uiPriority w:val="99"/>
    <w:rsid w:val="00A3231F"/>
    <w:rPr>
      <w:rFonts w:ascii="Times New Roman" w:eastAsia="Times New Roman" w:hAnsi="Times New Roman" w:cs="Times New Roman"/>
      <w:lang w:val="x-none" w:eastAsia="x-none"/>
    </w:rPr>
  </w:style>
  <w:style w:type="paragraph" w:styleId="Textedebulles">
    <w:name w:val="Balloon Text"/>
    <w:basedOn w:val="Normal"/>
    <w:link w:val="TextedebullesCar"/>
    <w:uiPriority w:val="99"/>
    <w:semiHidden/>
    <w:unhideWhenUsed/>
    <w:rsid w:val="00A3231F"/>
    <w:rPr>
      <w:rFonts w:ascii="Tahoma" w:hAnsi="Tahoma" w:cs="Tahoma"/>
      <w:sz w:val="16"/>
      <w:szCs w:val="16"/>
    </w:rPr>
  </w:style>
  <w:style w:type="character" w:customStyle="1" w:styleId="TextedebullesCar">
    <w:name w:val="Texte de bulles Car"/>
    <w:basedOn w:val="Policepardfaut"/>
    <w:link w:val="Textedebulles"/>
    <w:uiPriority w:val="99"/>
    <w:semiHidden/>
    <w:rsid w:val="00A3231F"/>
    <w:rPr>
      <w:rFonts w:ascii="Tahoma" w:eastAsia="Times New Roman" w:hAnsi="Tahoma" w:cs="Tahoma"/>
      <w:sz w:val="16"/>
      <w:szCs w:val="16"/>
      <w:lang w:eastAsia="fr-FR"/>
    </w:rPr>
  </w:style>
  <w:style w:type="paragraph" w:styleId="NormalWeb">
    <w:name w:val="Normal (Web)"/>
    <w:basedOn w:val="Normal"/>
    <w:uiPriority w:val="99"/>
    <w:rsid w:val="00D94137"/>
    <w:pPr>
      <w:spacing w:before="100" w:beforeAutospacing="1" w:after="100" w:afterAutospacing="1"/>
    </w:pPr>
  </w:style>
  <w:style w:type="paragraph" w:styleId="Notedebasdepage">
    <w:name w:val="footnote text"/>
    <w:aliases w:val="Footnotes,Car"/>
    <w:basedOn w:val="Normal"/>
    <w:link w:val="NotedebasdepageCar"/>
    <w:uiPriority w:val="99"/>
    <w:semiHidden/>
    <w:rsid w:val="00D94137"/>
    <w:rPr>
      <w:sz w:val="20"/>
      <w:szCs w:val="20"/>
    </w:rPr>
  </w:style>
  <w:style w:type="character" w:customStyle="1" w:styleId="NotedebasdepageCar">
    <w:name w:val="Note de bas de page Car"/>
    <w:aliases w:val="Footnotes Car,Car Car"/>
    <w:basedOn w:val="Policepardfaut"/>
    <w:link w:val="Notedebasdepage"/>
    <w:uiPriority w:val="99"/>
    <w:rsid w:val="00D94137"/>
    <w:rPr>
      <w:rFonts w:ascii="Times New Roman" w:eastAsia="Times New Roman" w:hAnsi="Times New Roman" w:cs="Times New Roman"/>
      <w:sz w:val="20"/>
      <w:szCs w:val="20"/>
      <w:lang w:eastAsia="fr-FR"/>
    </w:rPr>
  </w:style>
  <w:style w:type="character" w:styleId="Appelnotedebasdep">
    <w:name w:val="footnote reference"/>
    <w:uiPriority w:val="99"/>
    <w:semiHidden/>
    <w:rsid w:val="00D94137"/>
    <w:rPr>
      <w:vertAlign w:val="superscript"/>
    </w:rPr>
  </w:style>
  <w:style w:type="character" w:styleId="lev">
    <w:name w:val="Strong"/>
    <w:uiPriority w:val="22"/>
    <w:qFormat/>
    <w:rsid w:val="00D94137"/>
    <w:rPr>
      <w:b/>
      <w:bCs/>
    </w:rPr>
  </w:style>
  <w:style w:type="paragraph" w:styleId="Paragraphedeliste">
    <w:name w:val="List Paragraph"/>
    <w:basedOn w:val="Normal"/>
    <w:uiPriority w:val="34"/>
    <w:qFormat/>
    <w:rsid w:val="00D94137"/>
    <w:pPr>
      <w:ind w:left="720"/>
      <w:contextualSpacing/>
    </w:pPr>
  </w:style>
  <w:style w:type="paragraph" w:styleId="Retraitcorpsdetexte2">
    <w:name w:val="Body Text Indent 2"/>
    <w:basedOn w:val="Normal"/>
    <w:link w:val="Retraitcorpsdetexte2Car"/>
    <w:uiPriority w:val="99"/>
    <w:semiHidden/>
    <w:unhideWhenUsed/>
    <w:rsid w:val="007C1F6C"/>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7C1F6C"/>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5D52BE"/>
    <w:pPr>
      <w:tabs>
        <w:tab w:val="center" w:pos="4536"/>
        <w:tab w:val="right" w:pos="9072"/>
      </w:tabs>
    </w:pPr>
  </w:style>
  <w:style w:type="character" w:customStyle="1" w:styleId="En-tteCar">
    <w:name w:val="En-tête Car"/>
    <w:basedOn w:val="Policepardfaut"/>
    <w:link w:val="En-tte"/>
    <w:uiPriority w:val="99"/>
    <w:rsid w:val="005D52B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D52BE"/>
    <w:pPr>
      <w:tabs>
        <w:tab w:val="center" w:pos="4536"/>
        <w:tab w:val="right" w:pos="9072"/>
      </w:tabs>
    </w:pPr>
  </w:style>
  <w:style w:type="character" w:customStyle="1" w:styleId="PieddepageCar">
    <w:name w:val="Pied de page Car"/>
    <w:basedOn w:val="Policepardfaut"/>
    <w:link w:val="Pieddepage"/>
    <w:uiPriority w:val="99"/>
    <w:rsid w:val="005D52B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rsid w:val="00DA24B7"/>
    <w:rPr>
      <w:rFonts w:ascii="Calibri" w:eastAsia="Calibri" w:hAnsi="Calibri" w:cs="Calibri"/>
      <w:sz w:val="20"/>
      <w:szCs w:val="20"/>
      <w:lang w:eastAsia="en-US"/>
    </w:rPr>
  </w:style>
  <w:style w:type="character" w:customStyle="1" w:styleId="NotedefinCar">
    <w:name w:val="Note de fin Car"/>
    <w:basedOn w:val="Policepardfaut"/>
    <w:link w:val="Notedefin"/>
    <w:uiPriority w:val="99"/>
    <w:semiHidden/>
    <w:rsid w:val="00DA24B7"/>
    <w:rPr>
      <w:rFonts w:ascii="Calibri" w:eastAsia="Calibri" w:hAnsi="Calibri" w:cs="Calibri"/>
      <w:sz w:val="20"/>
      <w:szCs w:val="20"/>
    </w:rPr>
  </w:style>
  <w:style w:type="table" w:styleId="Grilledutableau">
    <w:name w:val="Table Grid"/>
    <w:basedOn w:val="TableauNormal"/>
    <w:uiPriority w:val="39"/>
    <w:rsid w:val="004A2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24709A"/>
    <w:rPr>
      <w:rFonts w:asciiTheme="majorHAnsi" w:eastAsiaTheme="majorEastAsia" w:hAnsiTheme="majorHAnsi" w:cstheme="majorBidi"/>
      <w:b/>
      <w:bCs/>
      <w:color w:val="365F91" w:themeColor="accent1" w:themeShade="BF"/>
      <w:sz w:val="28"/>
      <w:szCs w:val="28"/>
      <w:lang w:eastAsia="fr-FR"/>
    </w:rPr>
  </w:style>
  <w:style w:type="paragraph" w:styleId="Bibliographie">
    <w:name w:val="Bibliography"/>
    <w:basedOn w:val="Normal"/>
    <w:next w:val="Normal"/>
    <w:uiPriority w:val="37"/>
    <w:unhideWhenUsed/>
    <w:rsid w:val="0024709A"/>
  </w:style>
  <w:style w:type="paragraph" w:customStyle="1" w:styleId="Default">
    <w:name w:val="Default"/>
    <w:rsid w:val="00386CE5"/>
    <w:pPr>
      <w:autoSpaceDE w:val="0"/>
      <w:autoSpaceDN w:val="0"/>
      <w:adjustRightInd w:val="0"/>
      <w:spacing w:after="0" w:line="240" w:lineRule="auto"/>
    </w:pPr>
    <w:rPr>
      <w:rFonts w:ascii="Code" w:hAnsi="Code" w:cs="Code"/>
      <w:color w:val="000000"/>
      <w:sz w:val="24"/>
      <w:szCs w:val="24"/>
      <w:lang w:bidi="he-IL"/>
    </w:rPr>
  </w:style>
  <w:style w:type="character" w:customStyle="1" w:styleId="collapsetext">
    <w:name w:val="collapsetext"/>
    <w:basedOn w:val="Policepardfaut"/>
    <w:rsid w:val="007A57A2"/>
  </w:style>
  <w:style w:type="character" w:customStyle="1" w:styleId="showinfo">
    <w:name w:val="showinfo"/>
    <w:basedOn w:val="Policepardfaut"/>
    <w:rsid w:val="007A57A2"/>
  </w:style>
  <w:style w:type="paragraph" w:customStyle="1" w:styleId="volissue">
    <w:name w:val="volissue"/>
    <w:basedOn w:val="Normal"/>
    <w:rsid w:val="007A57A2"/>
    <w:pPr>
      <w:spacing w:before="100" w:beforeAutospacing="1" w:after="100" w:afterAutospacing="1"/>
    </w:pPr>
    <w:rPr>
      <w:lang w:bidi="he-IL"/>
    </w:rPr>
  </w:style>
  <w:style w:type="table" w:customStyle="1" w:styleId="Grilledutableau1">
    <w:name w:val="Grille du tableau1"/>
    <w:basedOn w:val="TableauNormal"/>
    <w:next w:val="Grilledutableau"/>
    <w:uiPriority w:val="39"/>
    <w:rsid w:val="00924D2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05264D"/>
    <w:rPr>
      <w:sz w:val="16"/>
      <w:szCs w:val="16"/>
    </w:rPr>
  </w:style>
  <w:style w:type="paragraph" w:styleId="Commentaire">
    <w:name w:val="annotation text"/>
    <w:basedOn w:val="Normal"/>
    <w:link w:val="CommentaireCar"/>
    <w:uiPriority w:val="99"/>
    <w:semiHidden/>
    <w:unhideWhenUsed/>
    <w:rsid w:val="0005264D"/>
    <w:rPr>
      <w:sz w:val="20"/>
      <w:szCs w:val="20"/>
    </w:rPr>
  </w:style>
  <w:style w:type="character" w:customStyle="1" w:styleId="CommentaireCar">
    <w:name w:val="Commentaire Car"/>
    <w:basedOn w:val="Policepardfaut"/>
    <w:link w:val="Commentaire"/>
    <w:uiPriority w:val="99"/>
    <w:semiHidden/>
    <w:rsid w:val="0005264D"/>
    <w:rPr>
      <w:rFonts w:ascii="Times New Roman" w:eastAsia="Times New Roman" w:hAnsi="Times New Roman" w:cs="Times New Roman"/>
      <w:sz w:val="20"/>
      <w:szCs w:val="20"/>
      <w:lang w:eastAsia="fr-FR"/>
    </w:rPr>
  </w:style>
  <w:style w:type="character" w:styleId="Lienhypertextesuivivisit">
    <w:name w:val="FollowedHyperlink"/>
    <w:basedOn w:val="Policepardfaut"/>
    <w:uiPriority w:val="99"/>
    <w:semiHidden/>
    <w:unhideWhenUsed/>
    <w:rsid w:val="00176F37"/>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B839D3"/>
    <w:rPr>
      <w:b/>
      <w:bCs/>
    </w:rPr>
  </w:style>
  <w:style w:type="character" w:customStyle="1" w:styleId="ObjetducommentaireCar">
    <w:name w:val="Objet du commentaire Car"/>
    <w:basedOn w:val="CommentaireCar"/>
    <w:link w:val="Objetducommentaire"/>
    <w:uiPriority w:val="99"/>
    <w:semiHidden/>
    <w:rsid w:val="00B839D3"/>
    <w:rPr>
      <w:rFonts w:ascii="Times New Roman" w:eastAsia="Times New Roman" w:hAnsi="Times New Roman" w:cs="Times New Roman"/>
      <w:b/>
      <w:bCs/>
      <w:sz w:val="20"/>
      <w:szCs w:val="20"/>
      <w:lang w:eastAsia="fr-FR"/>
    </w:rPr>
  </w:style>
  <w:style w:type="character" w:customStyle="1" w:styleId="Titre2Car">
    <w:name w:val="Titre 2 Car"/>
    <w:basedOn w:val="Policepardfaut"/>
    <w:link w:val="Titre2"/>
    <w:uiPriority w:val="9"/>
    <w:semiHidden/>
    <w:rsid w:val="00B24524"/>
    <w:rPr>
      <w:rFonts w:asciiTheme="majorHAnsi" w:eastAsiaTheme="majorEastAsia" w:hAnsiTheme="majorHAnsi" w:cstheme="majorBidi"/>
      <w:b/>
      <w:bCs/>
      <w:color w:val="4F81BD" w:themeColor="accent1"/>
      <w:sz w:val="26"/>
      <w:szCs w:val="2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31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2470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B245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A3231F"/>
    <w:pPr>
      <w:keepNext/>
      <w:jc w:val="right"/>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A3231F"/>
    <w:rPr>
      <w:rFonts w:ascii="Times New Roman" w:eastAsia="Times New Roman" w:hAnsi="Times New Roman" w:cs="Times New Roman"/>
      <w:b/>
      <w:bCs/>
      <w:sz w:val="24"/>
      <w:szCs w:val="24"/>
      <w:lang w:eastAsia="fr-FR"/>
    </w:rPr>
  </w:style>
  <w:style w:type="character" w:styleId="Lienhypertexte">
    <w:name w:val="Hyperlink"/>
    <w:uiPriority w:val="99"/>
    <w:rsid w:val="00A3231F"/>
    <w:rPr>
      <w:color w:val="0000FF"/>
      <w:u w:val="single"/>
    </w:rPr>
  </w:style>
  <w:style w:type="paragraph" w:styleId="Corpsdetexte">
    <w:name w:val="Body Text"/>
    <w:basedOn w:val="Normal"/>
    <w:link w:val="CorpsdetexteCar"/>
    <w:uiPriority w:val="99"/>
    <w:unhideWhenUsed/>
    <w:rsid w:val="00A3231F"/>
    <w:pPr>
      <w:spacing w:before="120" w:after="120"/>
      <w:jc w:val="both"/>
    </w:pPr>
    <w:rPr>
      <w:sz w:val="22"/>
      <w:szCs w:val="22"/>
      <w:lang w:val="x-none" w:eastAsia="x-none"/>
    </w:rPr>
  </w:style>
  <w:style w:type="character" w:customStyle="1" w:styleId="CorpsdetexteCar">
    <w:name w:val="Corps de texte Car"/>
    <w:basedOn w:val="Policepardfaut"/>
    <w:link w:val="Corpsdetexte"/>
    <w:uiPriority w:val="99"/>
    <w:rsid w:val="00A3231F"/>
    <w:rPr>
      <w:rFonts w:ascii="Times New Roman" w:eastAsia="Times New Roman" w:hAnsi="Times New Roman" w:cs="Times New Roman"/>
      <w:lang w:val="x-none" w:eastAsia="x-none"/>
    </w:rPr>
  </w:style>
  <w:style w:type="paragraph" w:styleId="Textedebulles">
    <w:name w:val="Balloon Text"/>
    <w:basedOn w:val="Normal"/>
    <w:link w:val="TextedebullesCar"/>
    <w:uiPriority w:val="99"/>
    <w:semiHidden/>
    <w:unhideWhenUsed/>
    <w:rsid w:val="00A3231F"/>
    <w:rPr>
      <w:rFonts w:ascii="Tahoma" w:hAnsi="Tahoma" w:cs="Tahoma"/>
      <w:sz w:val="16"/>
      <w:szCs w:val="16"/>
    </w:rPr>
  </w:style>
  <w:style w:type="character" w:customStyle="1" w:styleId="TextedebullesCar">
    <w:name w:val="Texte de bulles Car"/>
    <w:basedOn w:val="Policepardfaut"/>
    <w:link w:val="Textedebulles"/>
    <w:uiPriority w:val="99"/>
    <w:semiHidden/>
    <w:rsid w:val="00A3231F"/>
    <w:rPr>
      <w:rFonts w:ascii="Tahoma" w:eastAsia="Times New Roman" w:hAnsi="Tahoma" w:cs="Tahoma"/>
      <w:sz w:val="16"/>
      <w:szCs w:val="16"/>
      <w:lang w:eastAsia="fr-FR"/>
    </w:rPr>
  </w:style>
  <w:style w:type="paragraph" w:styleId="NormalWeb">
    <w:name w:val="Normal (Web)"/>
    <w:basedOn w:val="Normal"/>
    <w:uiPriority w:val="99"/>
    <w:rsid w:val="00D94137"/>
    <w:pPr>
      <w:spacing w:before="100" w:beforeAutospacing="1" w:after="100" w:afterAutospacing="1"/>
    </w:pPr>
  </w:style>
  <w:style w:type="paragraph" w:styleId="Notedebasdepage">
    <w:name w:val="footnote text"/>
    <w:aliases w:val="Footnotes,Car"/>
    <w:basedOn w:val="Normal"/>
    <w:link w:val="NotedebasdepageCar"/>
    <w:uiPriority w:val="99"/>
    <w:semiHidden/>
    <w:rsid w:val="00D94137"/>
    <w:rPr>
      <w:sz w:val="20"/>
      <w:szCs w:val="20"/>
    </w:rPr>
  </w:style>
  <w:style w:type="character" w:customStyle="1" w:styleId="NotedebasdepageCar">
    <w:name w:val="Note de bas de page Car"/>
    <w:aliases w:val="Footnotes Car,Car Car"/>
    <w:basedOn w:val="Policepardfaut"/>
    <w:link w:val="Notedebasdepage"/>
    <w:uiPriority w:val="99"/>
    <w:rsid w:val="00D94137"/>
    <w:rPr>
      <w:rFonts w:ascii="Times New Roman" w:eastAsia="Times New Roman" w:hAnsi="Times New Roman" w:cs="Times New Roman"/>
      <w:sz w:val="20"/>
      <w:szCs w:val="20"/>
      <w:lang w:eastAsia="fr-FR"/>
    </w:rPr>
  </w:style>
  <w:style w:type="character" w:styleId="Appelnotedebasdep">
    <w:name w:val="footnote reference"/>
    <w:uiPriority w:val="99"/>
    <w:semiHidden/>
    <w:rsid w:val="00D94137"/>
    <w:rPr>
      <w:vertAlign w:val="superscript"/>
    </w:rPr>
  </w:style>
  <w:style w:type="character" w:styleId="lev">
    <w:name w:val="Strong"/>
    <w:uiPriority w:val="22"/>
    <w:qFormat/>
    <w:rsid w:val="00D94137"/>
    <w:rPr>
      <w:b/>
      <w:bCs/>
    </w:rPr>
  </w:style>
  <w:style w:type="paragraph" w:styleId="Paragraphedeliste">
    <w:name w:val="List Paragraph"/>
    <w:basedOn w:val="Normal"/>
    <w:uiPriority w:val="34"/>
    <w:qFormat/>
    <w:rsid w:val="00D94137"/>
    <w:pPr>
      <w:ind w:left="720"/>
      <w:contextualSpacing/>
    </w:pPr>
  </w:style>
  <w:style w:type="paragraph" w:styleId="Retraitcorpsdetexte2">
    <w:name w:val="Body Text Indent 2"/>
    <w:basedOn w:val="Normal"/>
    <w:link w:val="Retraitcorpsdetexte2Car"/>
    <w:uiPriority w:val="99"/>
    <w:semiHidden/>
    <w:unhideWhenUsed/>
    <w:rsid w:val="007C1F6C"/>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7C1F6C"/>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5D52BE"/>
    <w:pPr>
      <w:tabs>
        <w:tab w:val="center" w:pos="4536"/>
        <w:tab w:val="right" w:pos="9072"/>
      </w:tabs>
    </w:pPr>
  </w:style>
  <w:style w:type="character" w:customStyle="1" w:styleId="En-tteCar">
    <w:name w:val="En-tête Car"/>
    <w:basedOn w:val="Policepardfaut"/>
    <w:link w:val="En-tte"/>
    <w:uiPriority w:val="99"/>
    <w:rsid w:val="005D52B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D52BE"/>
    <w:pPr>
      <w:tabs>
        <w:tab w:val="center" w:pos="4536"/>
        <w:tab w:val="right" w:pos="9072"/>
      </w:tabs>
    </w:pPr>
  </w:style>
  <w:style w:type="character" w:customStyle="1" w:styleId="PieddepageCar">
    <w:name w:val="Pied de page Car"/>
    <w:basedOn w:val="Policepardfaut"/>
    <w:link w:val="Pieddepage"/>
    <w:uiPriority w:val="99"/>
    <w:rsid w:val="005D52B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rsid w:val="00DA24B7"/>
    <w:rPr>
      <w:rFonts w:ascii="Calibri" w:eastAsia="Calibri" w:hAnsi="Calibri" w:cs="Calibri"/>
      <w:sz w:val="20"/>
      <w:szCs w:val="20"/>
      <w:lang w:eastAsia="en-US"/>
    </w:rPr>
  </w:style>
  <w:style w:type="character" w:customStyle="1" w:styleId="NotedefinCar">
    <w:name w:val="Note de fin Car"/>
    <w:basedOn w:val="Policepardfaut"/>
    <w:link w:val="Notedefin"/>
    <w:uiPriority w:val="99"/>
    <w:semiHidden/>
    <w:rsid w:val="00DA24B7"/>
    <w:rPr>
      <w:rFonts w:ascii="Calibri" w:eastAsia="Calibri" w:hAnsi="Calibri" w:cs="Calibri"/>
      <w:sz w:val="20"/>
      <w:szCs w:val="20"/>
    </w:rPr>
  </w:style>
  <w:style w:type="table" w:styleId="Grilledutableau">
    <w:name w:val="Table Grid"/>
    <w:basedOn w:val="TableauNormal"/>
    <w:uiPriority w:val="39"/>
    <w:rsid w:val="004A2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24709A"/>
    <w:rPr>
      <w:rFonts w:asciiTheme="majorHAnsi" w:eastAsiaTheme="majorEastAsia" w:hAnsiTheme="majorHAnsi" w:cstheme="majorBidi"/>
      <w:b/>
      <w:bCs/>
      <w:color w:val="365F91" w:themeColor="accent1" w:themeShade="BF"/>
      <w:sz w:val="28"/>
      <w:szCs w:val="28"/>
      <w:lang w:eastAsia="fr-FR"/>
    </w:rPr>
  </w:style>
  <w:style w:type="paragraph" w:styleId="Bibliographie">
    <w:name w:val="Bibliography"/>
    <w:basedOn w:val="Normal"/>
    <w:next w:val="Normal"/>
    <w:uiPriority w:val="37"/>
    <w:unhideWhenUsed/>
    <w:rsid w:val="0024709A"/>
  </w:style>
  <w:style w:type="paragraph" w:customStyle="1" w:styleId="Default">
    <w:name w:val="Default"/>
    <w:rsid w:val="00386CE5"/>
    <w:pPr>
      <w:autoSpaceDE w:val="0"/>
      <w:autoSpaceDN w:val="0"/>
      <w:adjustRightInd w:val="0"/>
      <w:spacing w:after="0" w:line="240" w:lineRule="auto"/>
    </w:pPr>
    <w:rPr>
      <w:rFonts w:ascii="Code" w:hAnsi="Code" w:cs="Code"/>
      <w:color w:val="000000"/>
      <w:sz w:val="24"/>
      <w:szCs w:val="24"/>
      <w:lang w:bidi="he-IL"/>
    </w:rPr>
  </w:style>
  <w:style w:type="character" w:customStyle="1" w:styleId="collapsetext">
    <w:name w:val="collapsetext"/>
    <w:basedOn w:val="Policepardfaut"/>
    <w:rsid w:val="007A57A2"/>
  </w:style>
  <w:style w:type="character" w:customStyle="1" w:styleId="showinfo">
    <w:name w:val="showinfo"/>
    <w:basedOn w:val="Policepardfaut"/>
    <w:rsid w:val="007A57A2"/>
  </w:style>
  <w:style w:type="paragraph" w:customStyle="1" w:styleId="volissue">
    <w:name w:val="volissue"/>
    <w:basedOn w:val="Normal"/>
    <w:rsid w:val="007A57A2"/>
    <w:pPr>
      <w:spacing w:before="100" w:beforeAutospacing="1" w:after="100" w:afterAutospacing="1"/>
    </w:pPr>
    <w:rPr>
      <w:lang w:bidi="he-IL"/>
    </w:rPr>
  </w:style>
  <w:style w:type="table" w:customStyle="1" w:styleId="Grilledutableau1">
    <w:name w:val="Grille du tableau1"/>
    <w:basedOn w:val="TableauNormal"/>
    <w:next w:val="Grilledutableau"/>
    <w:uiPriority w:val="39"/>
    <w:rsid w:val="00924D2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05264D"/>
    <w:rPr>
      <w:sz w:val="16"/>
      <w:szCs w:val="16"/>
    </w:rPr>
  </w:style>
  <w:style w:type="paragraph" w:styleId="Commentaire">
    <w:name w:val="annotation text"/>
    <w:basedOn w:val="Normal"/>
    <w:link w:val="CommentaireCar"/>
    <w:uiPriority w:val="99"/>
    <w:semiHidden/>
    <w:unhideWhenUsed/>
    <w:rsid w:val="0005264D"/>
    <w:rPr>
      <w:sz w:val="20"/>
      <w:szCs w:val="20"/>
    </w:rPr>
  </w:style>
  <w:style w:type="character" w:customStyle="1" w:styleId="CommentaireCar">
    <w:name w:val="Commentaire Car"/>
    <w:basedOn w:val="Policepardfaut"/>
    <w:link w:val="Commentaire"/>
    <w:uiPriority w:val="99"/>
    <w:semiHidden/>
    <w:rsid w:val="0005264D"/>
    <w:rPr>
      <w:rFonts w:ascii="Times New Roman" w:eastAsia="Times New Roman" w:hAnsi="Times New Roman" w:cs="Times New Roman"/>
      <w:sz w:val="20"/>
      <w:szCs w:val="20"/>
      <w:lang w:eastAsia="fr-FR"/>
    </w:rPr>
  </w:style>
  <w:style w:type="character" w:styleId="Lienhypertextesuivivisit">
    <w:name w:val="FollowedHyperlink"/>
    <w:basedOn w:val="Policepardfaut"/>
    <w:uiPriority w:val="99"/>
    <w:semiHidden/>
    <w:unhideWhenUsed/>
    <w:rsid w:val="00176F37"/>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B839D3"/>
    <w:rPr>
      <w:b/>
      <w:bCs/>
    </w:rPr>
  </w:style>
  <w:style w:type="character" w:customStyle="1" w:styleId="ObjetducommentaireCar">
    <w:name w:val="Objet du commentaire Car"/>
    <w:basedOn w:val="CommentaireCar"/>
    <w:link w:val="Objetducommentaire"/>
    <w:uiPriority w:val="99"/>
    <w:semiHidden/>
    <w:rsid w:val="00B839D3"/>
    <w:rPr>
      <w:rFonts w:ascii="Times New Roman" w:eastAsia="Times New Roman" w:hAnsi="Times New Roman" w:cs="Times New Roman"/>
      <w:b/>
      <w:bCs/>
      <w:sz w:val="20"/>
      <w:szCs w:val="20"/>
      <w:lang w:eastAsia="fr-FR"/>
    </w:rPr>
  </w:style>
  <w:style w:type="character" w:customStyle="1" w:styleId="Titre2Car">
    <w:name w:val="Titre 2 Car"/>
    <w:basedOn w:val="Policepardfaut"/>
    <w:link w:val="Titre2"/>
    <w:uiPriority w:val="9"/>
    <w:semiHidden/>
    <w:rsid w:val="00B24524"/>
    <w:rPr>
      <w:rFonts w:asciiTheme="majorHAnsi" w:eastAsiaTheme="majorEastAsia" w:hAnsiTheme="majorHAnsi" w:cstheme="majorBidi"/>
      <w:b/>
      <w:bCs/>
      <w:color w:val="4F81BD" w:themeColor="accent1"/>
      <w:sz w:val="26"/>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3157">
      <w:bodyDiv w:val="1"/>
      <w:marLeft w:val="0"/>
      <w:marRight w:val="0"/>
      <w:marTop w:val="0"/>
      <w:marBottom w:val="0"/>
      <w:divBdr>
        <w:top w:val="none" w:sz="0" w:space="0" w:color="auto"/>
        <w:left w:val="none" w:sz="0" w:space="0" w:color="auto"/>
        <w:bottom w:val="none" w:sz="0" w:space="0" w:color="auto"/>
        <w:right w:val="none" w:sz="0" w:space="0" w:color="auto"/>
      </w:divBdr>
      <w:divsChild>
        <w:div w:id="442192692">
          <w:marLeft w:val="0"/>
          <w:marRight w:val="0"/>
          <w:marTop w:val="0"/>
          <w:marBottom w:val="0"/>
          <w:divBdr>
            <w:top w:val="none" w:sz="0" w:space="0" w:color="auto"/>
            <w:left w:val="none" w:sz="0" w:space="0" w:color="auto"/>
            <w:bottom w:val="none" w:sz="0" w:space="0" w:color="auto"/>
            <w:right w:val="none" w:sz="0" w:space="0" w:color="auto"/>
          </w:divBdr>
        </w:div>
        <w:div w:id="991107064">
          <w:marLeft w:val="0"/>
          <w:marRight w:val="0"/>
          <w:marTop w:val="0"/>
          <w:marBottom w:val="0"/>
          <w:divBdr>
            <w:top w:val="none" w:sz="0" w:space="0" w:color="auto"/>
            <w:left w:val="none" w:sz="0" w:space="0" w:color="auto"/>
            <w:bottom w:val="none" w:sz="0" w:space="0" w:color="auto"/>
            <w:right w:val="none" w:sz="0" w:space="0" w:color="auto"/>
          </w:divBdr>
        </w:div>
        <w:div w:id="1794404041">
          <w:marLeft w:val="0"/>
          <w:marRight w:val="0"/>
          <w:marTop w:val="0"/>
          <w:marBottom w:val="0"/>
          <w:divBdr>
            <w:top w:val="none" w:sz="0" w:space="0" w:color="auto"/>
            <w:left w:val="none" w:sz="0" w:space="0" w:color="auto"/>
            <w:bottom w:val="none" w:sz="0" w:space="0" w:color="auto"/>
            <w:right w:val="none" w:sz="0" w:space="0" w:color="auto"/>
          </w:divBdr>
        </w:div>
      </w:divsChild>
    </w:div>
    <w:div w:id="361976178">
      <w:bodyDiv w:val="1"/>
      <w:marLeft w:val="0"/>
      <w:marRight w:val="0"/>
      <w:marTop w:val="0"/>
      <w:marBottom w:val="0"/>
      <w:divBdr>
        <w:top w:val="none" w:sz="0" w:space="0" w:color="auto"/>
        <w:left w:val="none" w:sz="0" w:space="0" w:color="auto"/>
        <w:bottom w:val="none" w:sz="0" w:space="0" w:color="auto"/>
        <w:right w:val="none" w:sz="0" w:space="0" w:color="auto"/>
      </w:divBdr>
      <w:divsChild>
        <w:div w:id="27418411">
          <w:marLeft w:val="0"/>
          <w:marRight w:val="0"/>
          <w:marTop w:val="0"/>
          <w:marBottom w:val="0"/>
          <w:divBdr>
            <w:top w:val="none" w:sz="0" w:space="0" w:color="auto"/>
            <w:left w:val="none" w:sz="0" w:space="0" w:color="auto"/>
            <w:bottom w:val="none" w:sz="0" w:space="0" w:color="auto"/>
            <w:right w:val="none" w:sz="0" w:space="0" w:color="auto"/>
          </w:divBdr>
        </w:div>
        <w:div w:id="262494274">
          <w:marLeft w:val="0"/>
          <w:marRight w:val="0"/>
          <w:marTop w:val="0"/>
          <w:marBottom w:val="0"/>
          <w:divBdr>
            <w:top w:val="none" w:sz="0" w:space="0" w:color="auto"/>
            <w:left w:val="none" w:sz="0" w:space="0" w:color="auto"/>
            <w:bottom w:val="none" w:sz="0" w:space="0" w:color="auto"/>
            <w:right w:val="none" w:sz="0" w:space="0" w:color="auto"/>
          </w:divBdr>
        </w:div>
        <w:div w:id="558247036">
          <w:marLeft w:val="0"/>
          <w:marRight w:val="0"/>
          <w:marTop w:val="0"/>
          <w:marBottom w:val="0"/>
          <w:divBdr>
            <w:top w:val="none" w:sz="0" w:space="0" w:color="auto"/>
            <w:left w:val="none" w:sz="0" w:space="0" w:color="auto"/>
            <w:bottom w:val="none" w:sz="0" w:space="0" w:color="auto"/>
            <w:right w:val="none" w:sz="0" w:space="0" w:color="auto"/>
          </w:divBdr>
        </w:div>
      </w:divsChild>
    </w:div>
    <w:div w:id="533932736">
      <w:bodyDiv w:val="1"/>
      <w:marLeft w:val="0"/>
      <w:marRight w:val="0"/>
      <w:marTop w:val="0"/>
      <w:marBottom w:val="0"/>
      <w:divBdr>
        <w:top w:val="none" w:sz="0" w:space="0" w:color="auto"/>
        <w:left w:val="none" w:sz="0" w:space="0" w:color="auto"/>
        <w:bottom w:val="none" w:sz="0" w:space="0" w:color="auto"/>
        <w:right w:val="none" w:sz="0" w:space="0" w:color="auto"/>
      </w:divBdr>
    </w:div>
    <w:div w:id="622930192">
      <w:bodyDiv w:val="1"/>
      <w:marLeft w:val="0"/>
      <w:marRight w:val="0"/>
      <w:marTop w:val="0"/>
      <w:marBottom w:val="0"/>
      <w:divBdr>
        <w:top w:val="none" w:sz="0" w:space="0" w:color="auto"/>
        <w:left w:val="none" w:sz="0" w:space="0" w:color="auto"/>
        <w:bottom w:val="none" w:sz="0" w:space="0" w:color="auto"/>
        <w:right w:val="none" w:sz="0" w:space="0" w:color="auto"/>
      </w:divBdr>
      <w:divsChild>
        <w:div w:id="103305918">
          <w:marLeft w:val="0"/>
          <w:marRight w:val="0"/>
          <w:marTop w:val="0"/>
          <w:marBottom w:val="0"/>
          <w:divBdr>
            <w:top w:val="none" w:sz="0" w:space="0" w:color="auto"/>
            <w:left w:val="none" w:sz="0" w:space="0" w:color="auto"/>
            <w:bottom w:val="none" w:sz="0" w:space="0" w:color="auto"/>
            <w:right w:val="none" w:sz="0" w:space="0" w:color="auto"/>
          </w:divBdr>
        </w:div>
        <w:div w:id="141386229">
          <w:marLeft w:val="0"/>
          <w:marRight w:val="0"/>
          <w:marTop w:val="0"/>
          <w:marBottom w:val="0"/>
          <w:divBdr>
            <w:top w:val="none" w:sz="0" w:space="0" w:color="auto"/>
            <w:left w:val="none" w:sz="0" w:space="0" w:color="auto"/>
            <w:bottom w:val="none" w:sz="0" w:space="0" w:color="auto"/>
            <w:right w:val="none" w:sz="0" w:space="0" w:color="auto"/>
          </w:divBdr>
        </w:div>
        <w:div w:id="646280328">
          <w:marLeft w:val="0"/>
          <w:marRight w:val="0"/>
          <w:marTop w:val="0"/>
          <w:marBottom w:val="0"/>
          <w:divBdr>
            <w:top w:val="none" w:sz="0" w:space="0" w:color="auto"/>
            <w:left w:val="none" w:sz="0" w:space="0" w:color="auto"/>
            <w:bottom w:val="none" w:sz="0" w:space="0" w:color="auto"/>
            <w:right w:val="none" w:sz="0" w:space="0" w:color="auto"/>
          </w:divBdr>
        </w:div>
        <w:div w:id="1965650448">
          <w:marLeft w:val="0"/>
          <w:marRight w:val="0"/>
          <w:marTop w:val="0"/>
          <w:marBottom w:val="0"/>
          <w:divBdr>
            <w:top w:val="none" w:sz="0" w:space="0" w:color="auto"/>
            <w:left w:val="none" w:sz="0" w:space="0" w:color="auto"/>
            <w:bottom w:val="none" w:sz="0" w:space="0" w:color="auto"/>
            <w:right w:val="none" w:sz="0" w:space="0" w:color="auto"/>
          </w:divBdr>
        </w:div>
      </w:divsChild>
    </w:div>
    <w:div w:id="627400499">
      <w:bodyDiv w:val="1"/>
      <w:marLeft w:val="0"/>
      <w:marRight w:val="0"/>
      <w:marTop w:val="0"/>
      <w:marBottom w:val="0"/>
      <w:divBdr>
        <w:top w:val="none" w:sz="0" w:space="0" w:color="auto"/>
        <w:left w:val="none" w:sz="0" w:space="0" w:color="auto"/>
        <w:bottom w:val="none" w:sz="0" w:space="0" w:color="auto"/>
        <w:right w:val="none" w:sz="0" w:space="0" w:color="auto"/>
      </w:divBdr>
    </w:div>
    <w:div w:id="728303612">
      <w:bodyDiv w:val="1"/>
      <w:marLeft w:val="0"/>
      <w:marRight w:val="0"/>
      <w:marTop w:val="0"/>
      <w:marBottom w:val="0"/>
      <w:divBdr>
        <w:top w:val="none" w:sz="0" w:space="0" w:color="auto"/>
        <w:left w:val="none" w:sz="0" w:space="0" w:color="auto"/>
        <w:bottom w:val="none" w:sz="0" w:space="0" w:color="auto"/>
        <w:right w:val="none" w:sz="0" w:space="0" w:color="auto"/>
      </w:divBdr>
      <w:divsChild>
        <w:div w:id="348336923">
          <w:marLeft w:val="0"/>
          <w:marRight w:val="0"/>
          <w:marTop w:val="0"/>
          <w:marBottom w:val="0"/>
          <w:divBdr>
            <w:top w:val="none" w:sz="0" w:space="0" w:color="auto"/>
            <w:left w:val="none" w:sz="0" w:space="0" w:color="auto"/>
            <w:bottom w:val="none" w:sz="0" w:space="0" w:color="auto"/>
            <w:right w:val="none" w:sz="0" w:space="0" w:color="auto"/>
          </w:divBdr>
          <w:divsChild>
            <w:div w:id="405424211">
              <w:marLeft w:val="0"/>
              <w:marRight w:val="0"/>
              <w:marTop w:val="0"/>
              <w:marBottom w:val="0"/>
              <w:divBdr>
                <w:top w:val="none" w:sz="0" w:space="0" w:color="auto"/>
                <w:left w:val="none" w:sz="0" w:space="0" w:color="auto"/>
                <w:bottom w:val="none" w:sz="0" w:space="0" w:color="auto"/>
                <w:right w:val="none" w:sz="0" w:space="0" w:color="auto"/>
              </w:divBdr>
            </w:div>
            <w:div w:id="9146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8218">
      <w:bodyDiv w:val="1"/>
      <w:marLeft w:val="0"/>
      <w:marRight w:val="0"/>
      <w:marTop w:val="0"/>
      <w:marBottom w:val="0"/>
      <w:divBdr>
        <w:top w:val="none" w:sz="0" w:space="0" w:color="auto"/>
        <w:left w:val="none" w:sz="0" w:space="0" w:color="auto"/>
        <w:bottom w:val="none" w:sz="0" w:space="0" w:color="auto"/>
        <w:right w:val="none" w:sz="0" w:space="0" w:color="auto"/>
      </w:divBdr>
    </w:div>
    <w:div w:id="1017271036">
      <w:bodyDiv w:val="1"/>
      <w:marLeft w:val="0"/>
      <w:marRight w:val="0"/>
      <w:marTop w:val="0"/>
      <w:marBottom w:val="0"/>
      <w:divBdr>
        <w:top w:val="none" w:sz="0" w:space="0" w:color="auto"/>
        <w:left w:val="none" w:sz="0" w:space="0" w:color="auto"/>
        <w:bottom w:val="none" w:sz="0" w:space="0" w:color="auto"/>
        <w:right w:val="none" w:sz="0" w:space="0" w:color="auto"/>
      </w:divBdr>
      <w:divsChild>
        <w:div w:id="24061659">
          <w:marLeft w:val="0"/>
          <w:marRight w:val="0"/>
          <w:marTop w:val="0"/>
          <w:marBottom w:val="0"/>
          <w:divBdr>
            <w:top w:val="none" w:sz="0" w:space="0" w:color="auto"/>
            <w:left w:val="none" w:sz="0" w:space="0" w:color="auto"/>
            <w:bottom w:val="none" w:sz="0" w:space="0" w:color="auto"/>
            <w:right w:val="none" w:sz="0" w:space="0" w:color="auto"/>
          </w:divBdr>
        </w:div>
        <w:div w:id="658002109">
          <w:marLeft w:val="0"/>
          <w:marRight w:val="0"/>
          <w:marTop w:val="0"/>
          <w:marBottom w:val="0"/>
          <w:divBdr>
            <w:top w:val="none" w:sz="0" w:space="0" w:color="auto"/>
            <w:left w:val="none" w:sz="0" w:space="0" w:color="auto"/>
            <w:bottom w:val="none" w:sz="0" w:space="0" w:color="auto"/>
            <w:right w:val="none" w:sz="0" w:space="0" w:color="auto"/>
          </w:divBdr>
        </w:div>
        <w:div w:id="1939436276">
          <w:marLeft w:val="0"/>
          <w:marRight w:val="0"/>
          <w:marTop w:val="0"/>
          <w:marBottom w:val="0"/>
          <w:divBdr>
            <w:top w:val="none" w:sz="0" w:space="0" w:color="auto"/>
            <w:left w:val="none" w:sz="0" w:space="0" w:color="auto"/>
            <w:bottom w:val="none" w:sz="0" w:space="0" w:color="auto"/>
            <w:right w:val="none" w:sz="0" w:space="0" w:color="auto"/>
          </w:divBdr>
        </w:div>
      </w:divsChild>
    </w:div>
    <w:div w:id="1064989046">
      <w:bodyDiv w:val="1"/>
      <w:marLeft w:val="0"/>
      <w:marRight w:val="0"/>
      <w:marTop w:val="0"/>
      <w:marBottom w:val="0"/>
      <w:divBdr>
        <w:top w:val="none" w:sz="0" w:space="0" w:color="auto"/>
        <w:left w:val="none" w:sz="0" w:space="0" w:color="auto"/>
        <w:bottom w:val="none" w:sz="0" w:space="0" w:color="auto"/>
        <w:right w:val="none" w:sz="0" w:space="0" w:color="auto"/>
      </w:divBdr>
    </w:div>
    <w:div w:id="1080559203">
      <w:bodyDiv w:val="1"/>
      <w:marLeft w:val="0"/>
      <w:marRight w:val="0"/>
      <w:marTop w:val="0"/>
      <w:marBottom w:val="0"/>
      <w:divBdr>
        <w:top w:val="none" w:sz="0" w:space="0" w:color="auto"/>
        <w:left w:val="none" w:sz="0" w:space="0" w:color="auto"/>
        <w:bottom w:val="none" w:sz="0" w:space="0" w:color="auto"/>
        <w:right w:val="none" w:sz="0" w:space="0" w:color="auto"/>
      </w:divBdr>
      <w:divsChild>
        <w:div w:id="152568906">
          <w:marLeft w:val="0"/>
          <w:marRight w:val="0"/>
          <w:marTop w:val="0"/>
          <w:marBottom w:val="0"/>
          <w:divBdr>
            <w:top w:val="none" w:sz="0" w:space="0" w:color="auto"/>
            <w:left w:val="none" w:sz="0" w:space="0" w:color="auto"/>
            <w:bottom w:val="none" w:sz="0" w:space="0" w:color="auto"/>
            <w:right w:val="none" w:sz="0" w:space="0" w:color="auto"/>
          </w:divBdr>
        </w:div>
        <w:div w:id="642657533">
          <w:marLeft w:val="0"/>
          <w:marRight w:val="0"/>
          <w:marTop w:val="0"/>
          <w:marBottom w:val="0"/>
          <w:divBdr>
            <w:top w:val="none" w:sz="0" w:space="0" w:color="auto"/>
            <w:left w:val="none" w:sz="0" w:space="0" w:color="auto"/>
            <w:bottom w:val="none" w:sz="0" w:space="0" w:color="auto"/>
            <w:right w:val="none" w:sz="0" w:space="0" w:color="auto"/>
          </w:divBdr>
        </w:div>
        <w:div w:id="1840465794">
          <w:marLeft w:val="0"/>
          <w:marRight w:val="0"/>
          <w:marTop w:val="0"/>
          <w:marBottom w:val="0"/>
          <w:divBdr>
            <w:top w:val="none" w:sz="0" w:space="0" w:color="auto"/>
            <w:left w:val="none" w:sz="0" w:space="0" w:color="auto"/>
            <w:bottom w:val="none" w:sz="0" w:space="0" w:color="auto"/>
            <w:right w:val="none" w:sz="0" w:space="0" w:color="auto"/>
          </w:divBdr>
        </w:div>
        <w:div w:id="1942686391">
          <w:marLeft w:val="0"/>
          <w:marRight w:val="0"/>
          <w:marTop w:val="0"/>
          <w:marBottom w:val="0"/>
          <w:divBdr>
            <w:top w:val="none" w:sz="0" w:space="0" w:color="auto"/>
            <w:left w:val="none" w:sz="0" w:space="0" w:color="auto"/>
            <w:bottom w:val="none" w:sz="0" w:space="0" w:color="auto"/>
            <w:right w:val="none" w:sz="0" w:space="0" w:color="auto"/>
          </w:divBdr>
        </w:div>
        <w:div w:id="2010018422">
          <w:marLeft w:val="0"/>
          <w:marRight w:val="0"/>
          <w:marTop w:val="0"/>
          <w:marBottom w:val="0"/>
          <w:divBdr>
            <w:top w:val="none" w:sz="0" w:space="0" w:color="auto"/>
            <w:left w:val="none" w:sz="0" w:space="0" w:color="auto"/>
            <w:bottom w:val="none" w:sz="0" w:space="0" w:color="auto"/>
            <w:right w:val="none" w:sz="0" w:space="0" w:color="auto"/>
          </w:divBdr>
        </w:div>
      </w:divsChild>
    </w:div>
    <w:div w:id="1118335177">
      <w:bodyDiv w:val="1"/>
      <w:marLeft w:val="0"/>
      <w:marRight w:val="0"/>
      <w:marTop w:val="0"/>
      <w:marBottom w:val="0"/>
      <w:divBdr>
        <w:top w:val="none" w:sz="0" w:space="0" w:color="auto"/>
        <w:left w:val="none" w:sz="0" w:space="0" w:color="auto"/>
        <w:bottom w:val="none" w:sz="0" w:space="0" w:color="auto"/>
        <w:right w:val="none" w:sz="0" w:space="0" w:color="auto"/>
      </w:divBdr>
      <w:divsChild>
        <w:div w:id="1031299217">
          <w:marLeft w:val="0"/>
          <w:marRight w:val="0"/>
          <w:marTop w:val="0"/>
          <w:marBottom w:val="0"/>
          <w:divBdr>
            <w:top w:val="none" w:sz="0" w:space="0" w:color="auto"/>
            <w:left w:val="none" w:sz="0" w:space="0" w:color="auto"/>
            <w:bottom w:val="none" w:sz="0" w:space="0" w:color="auto"/>
            <w:right w:val="none" w:sz="0" w:space="0" w:color="auto"/>
          </w:divBdr>
          <w:divsChild>
            <w:div w:id="1370185911">
              <w:marLeft w:val="0"/>
              <w:marRight w:val="0"/>
              <w:marTop w:val="0"/>
              <w:marBottom w:val="0"/>
              <w:divBdr>
                <w:top w:val="none" w:sz="0" w:space="0" w:color="auto"/>
                <w:left w:val="none" w:sz="0" w:space="0" w:color="auto"/>
                <w:bottom w:val="none" w:sz="0" w:space="0" w:color="auto"/>
                <w:right w:val="none" w:sz="0" w:space="0" w:color="auto"/>
              </w:divBdr>
            </w:div>
            <w:div w:id="1568689853">
              <w:marLeft w:val="0"/>
              <w:marRight w:val="0"/>
              <w:marTop w:val="0"/>
              <w:marBottom w:val="0"/>
              <w:divBdr>
                <w:top w:val="none" w:sz="0" w:space="0" w:color="auto"/>
                <w:left w:val="none" w:sz="0" w:space="0" w:color="auto"/>
                <w:bottom w:val="none" w:sz="0" w:space="0" w:color="auto"/>
                <w:right w:val="none" w:sz="0" w:space="0" w:color="auto"/>
              </w:divBdr>
            </w:div>
            <w:div w:id="16324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70068">
      <w:bodyDiv w:val="1"/>
      <w:marLeft w:val="0"/>
      <w:marRight w:val="0"/>
      <w:marTop w:val="0"/>
      <w:marBottom w:val="0"/>
      <w:divBdr>
        <w:top w:val="none" w:sz="0" w:space="0" w:color="auto"/>
        <w:left w:val="none" w:sz="0" w:space="0" w:color="auto"/>
        <w:bottom w:val="none" w:sz="0" w:space="0" w:color="auto"/>
        <w:right w:val="none" w:sz="0" w:space="0" w:color="auto"/>
      </w:divBdr>
    </w:div>
    <w:div w:id="1253782843">
      <w:bodyDiv w:val="1"/>
      <w:marLeft w:val="0"/>
      <w:marRight w:val="0"/>
      <w:marTop w:val="0"/>
      <w:marBottom w:val="0"/>
      <w:divBdr>
        <w:top w:val="none" w:sz="0" w:space="0" w:color="auto"/>
        <w:left w:val="none" w:sz="0" w:space="0" w:color="auto"/>
        <w:bottom w:val="none" w:sz="0" w:space="0" w:color="auto"/>
        <w:right w:val="none" w:sz="0" w:space="0" w:color="auto"/>
      </w:divBdr>
    </w:div>
    <w:div w:id="1291861902">
      <w:bodyDiv w:val="1"/>
      <w:marLeft w:val="0"/>
      <w:marRight w:val="0"/>
      <w:marTop w:val="0"/>
      <w:marBottom w:val="0"/>
      <w:divBdr>
        <w:top w:val="none" w:sz="0" w:space="0" w:color="auto"/>
        <w:left w:val="none" w:sz="0" w:space="0" w:color="auto"/>
        <w:bottom w:val="none" w:sz="0" w:space="0" w:color="auto"/>
        <w:right w:val="none" w:sz="0" w:space="0" w:color="auto"/>
      </w:divBdr>
    </w:div>
    <w:div w:id="1293900857">
      <w:bodyDiv w:val="1"/>
      <w:marLeft w:val="0"/>
      <w:marRight w:val="0"/>
      <w:marTop w:val="0"/>
      <w:marBottom w:val="0"/>
      <w:divBdr>
        <w:top w:val="none" w:sz="0" w:space="0" w:color="auto"/>
        <w:left w:val="none" w:sz="0" w:space="0" w:color="auto"/>
        <w:bottom w:val="none" w:sz="0" w:space="0" w:color="auto"/>
        <w:right w:val="none" w:sz="0" w:space="0" w:color="auto"/>
      </w:divBdr>
      <w:divsChild>
        <w:div w:id="226963768">
          <w:marLeft w:val="0"/>
          <w:marRight w:val="0"/>
          <w:marTop w:val="0"/>
          <w:marBottom w:val="0"/>
          <w:divBdr>
            <w:top w:val="none" w:sz="0" w:space="0" w:color="auto"/>
            <w:left w:val="none" w:sz="0" w:space="0" w:color="auto"/>
            <w:bottom w:val="none" w:sz="0" w:space="0" w:color="auto"/>
            <w:right w:val="none" w:sz="0" w:space="0" w:color="auto"/>
          </w:divBdr>
        </w:div>
        <w:div w:id="1515076472">
          <w:marLeft w:val="0"/>
          <w:marRight w:val="0"/>
          <w:marTop w:val="0"/>
          <w:marBottom w:val="0"/>
          <w:divBdr>
            <w:top w:val="none" w:sz="0" w:space="0" w:color="auto"/>
            <w:left w:val="none" w:sz="0" w:space="0" w:color="auto"/>
            <w:bottom w:val="none" w:sz="0" w:space="0" w:color="auto"/>
            <w:right w:val="none" w:sz="0" w:space="0" w:color="auto"/>
          </w:divBdr>
        </w:div>
      </w:divsChild>
    </w:div>
    <w:div w:id="1364474138">
      <w:bodyDiv w:val="1"/>
      <w:marLeft w:val="0"/>
      <w:marRight w:val="0"/>
      <w:marTop w:val="0"/>
      <w:marBottom w:val="0"/>
      <w:divBdr>
        <w:top w:val="none" w:sz="0" w:space="0" w:color="auto"/>
        <w:left w:val="none" w:sz="0" w:space="0" w:color="auto"/>
        <w:bottom w:val="none" w:sz="0" w:space="0" w:color="auto"/>
        <w:right w:val="none" w:sz="0" w:space="0" w:color="auto"/>
      </w:divBdr>
    </w:div>
    <w:div w:id="1538009960">
      <w:bodyDiv w:val="1"/>
      <w:marLeft w:val="0"/>
      <w:marRight w:val="0"/>
      <w:marTop w:val="0"/>
      <w:marBottom w:val="0"/>
      <w:divBdr>
        <w:top w:val="none" w:sz="0" w:space="0" w:color="auto"/>
        <w:left w:val="none" w:sz="0" w:space="0" w:color="auto"/>
        <w:bottom w:val="none" w:sz="0" w:space="0" w:color="auto"/>
        <w:right w:val="none" w:sz="0" w:space="0" w:color="auto"/>
      </w:divBdr>
    </w:div>
    <w:div w:id="1588153552">
      <w:bodyDiv w:val="1"/>
      <w:marLeft w:val="0"/>
      <w:marRight w:val="0"/>
      <w:marTop w:val="0"/>
      <w:marBottom w:val="0"/>
      <w:divBdr>
        <w:top w:val="none" w:sz="0" w:space="0" w:color="auto"/>
        <w:left w:val="none" w:sz="0" w:space="0" w:color="auto"/>
        <w:bottom w:val="none" w:sz="0" w:space="0" w:color="auto"/>
        <w:right w:val="none" w:sz="0" w:space="0" w:color="auto"/>
      </w:divBdr>
      <w:divsChild>
        <w:div w:id="506286588">
          <w:marLeft w:val="0"/>
          <w:marRight w:val="0"/>
          <w:marTop w:val="0"/>
          <w:marBottom w:val="0"/>
          <w:divBdr>
            <w:top w:val="none" w:sz="0" w:space="0" w:color="auto"/>
            <w:left w:val="none" w:sz="0" w:space="0" w:color="auto"/>
            <w:bottom w:val="none" w:sz="0" w:space="0" w:color="auto"/>
            <w:right w:val="none" w:sz="0" w:space="0" w:color="auto"/>
          </w:divBdr>
          <w:divsChild>
            <w:div w:id="30765865">
              <w:marLeft w:val="0"/>
              <w:marRight w:val="0"/>
              <w:marTop w:val="0"/>
              <w:marBottom w:val="0"/>
              <w:divBdr>
                <w:top w:val="none" w:sz="0" w:space="0" w:color="auto"/>
                <w:left w:val="none" w:sz="0" w:space="0" w:color="auto"/>
                <w:bottom w:val="none" w:sz="0" w:space="0" w:color="auto"/>
                <w:right w:val="none" w:sz="0" w:space="0" w:color="auto"/>
              </w:divBdr>
              <w:divsChild>
                <w:div w:id="196827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12189">
      <w:bodyDiv w:val="1"/>
      <w:marLeft w:val="0"/>
      <w:marRight w:val="0"/>
      <w:marTop w:val="0"/>
      <w:marBottom w:val="0"/>
      <w:divBdr>
        <w:top w:val="none" w:sz="0" w:space="0" w:color="auto"/>
        <w:left w:val="none" w:sz="0" w:space="0" w:color="auto"/>
        <w:bottom w:val="none" w:sz="0" w:space="0" w:color="auto"/>
        <w:right w:val="none" w:sz="0" w:space="0" w:color="auto"/>
      </w:divBdr>
      <w:divsChild>
        <w:div w:id="598147428">
          <w:marLeft w:val="0"/>
          <w:marRight w:val="0"/>
          <w:marTop w:val="0"/>
          <w:marBottom w:val="0"/>
          <w:divBdr>
            <w:top w:val="none" w:sz="0" w:space="0" w:color="auto"/>
            <w:left w:val="none" w:sz="0" w:space="0" w:color="auto"/>
            <w:bottom w:val="none" w:sz="0" w:space="0" w:color="auto"/>
            <w:right w:val="none" w:sz="0" w:space="0" w:color="auto"/>
          </w:divBdr>
        </w:div>
      </w:divsChild>
    </w:div>
    <w:div w:id="1723946990">
      <w:bodyDiv w:val="1"/>
      <w:marLeft w:val="0"/>
      <w:marRight w:val="0"/>
      <w:marTop w:val="0"/>
      <w:marBottom w:val="0"/>
      <w:divBdr>
        <w:top w:val="none" w:sz="0" w:space="0" w:color="auto"/>
        <w:left w:val="none" w:sz="0" w:space="0" w:color="auto"/>
        <w:bottom w:val="none" w:sz="0" w:space="0" w:color="auto"/>
        <w:right w:val="none" w:sz="0" w:space="0" w:color="auto"/>
      </w:divBdr>
    </w:div>
    <w:div w:id="1737897738">
      <w:bodyDiv w:val="1"/>
      <w:marLeft w:val="0"/>
      <w:marRight w:val="0"/>
      <w:marTop w:val="0"/>
      <w:marBottom w:val="0"/>
      <w:divBdr>
        <w:top w:val="none" w:sz="0" w:space="0" w:color="auto"/>
        <w:left w:val="none" w:sz="0" w:space="0" w:color="auto"/>
        <w:bottom w:val="none" w:sz="0" w:space="0" w:color="auto"/>
        <w:right w:val="none" w:sz="0" w:space="0" w:color="auto"/>
      </w:divBdr>
      <w:divsChild>
        <w:div w:id="59257985">
          <w:marLeft w:val="0"/>
          <w:marRight w:val="0"/>
          <w:marTop w:val="0"/>
          <w:marBottom w:val="0"/>
          <w:divBdr>
            <w:top w:val="none" w:sz="0" w:space="0" w:color="auto"/>
            <w:left w:val="none" w:sz="0" w:space="0" w:color="auto"/>
            <w:bottom w:val="none" w:sz="0" w:space="0" w:color="auto"/>
            <w:right w:val="none" w:sz="0" w:space="0" w:color="auto"/>
          </w:divBdr>
        </w:div>
        <w:div w:id="1081099045">
          <w:marLeft w:val="0"/>
          <w:marRight w:val="0"/>
          <w:marTop w:val="0"/>
          <w:marBottom w:val="0"/>
          <w:divBdr>
            <w:top w:val="none" w:sz="0" w:space="0" w:color="auto"/>
            <w:left w:val="none" w:sz="0" w:space="0" w:color="auto"/>
            <w:bottom w:val="none" w:sz="0" w:space="0" w:color="auto"/>
            <w:right w:val="none" w:sz="0" w:space="0" w:color="auto"/>
          </w:divBdr>
        </w:div>
        <w:div w:id="2032954692">
          <w:marLeft w:val="0"/>
          <w:marRight w:val="0"/>
          <w:marTop w:val="0"/>
          <w:marBottom w:val="0"/>
          <w:divBdr>
            <w:top w:val="none" w:sz="0" w:space="0" w:color="auto"/>
            <w:left w:val="none" w:sz="0" w:space="0" w:color="auto"/>
            <w:bottom w:val="none" w:sz="0" w:space="0" w:color="auto"/>
            <w:right w:val="none" w:sz="0" w:space="0" w:color="auto"/>
          </w:divBdr>
        </w:div>
      </w:divsChild>
    </w:div>
    <w:div w:id="1784036667">
      <w:bodyDiv w:val="1"/>
      <w:marLeft w:val="0"/>
      <w:marRight w:val="0"/>
      <w:marTop w:val="0"/>
      <w:marBottom w:val="0"/>
      <w:divBdr>
        <w:top w:val="none" w:sz="0" w:space="0" w:color="auto"/>
        <w:left w:val="none" w:sz="0" w:space="0" w:color="auto"/>
        <w:bottom w:val="none" w:sz="0" w:space="0" w:color="auto"/>
        <w:right w:val="none" w:sz="0" w:space="0" w:color="auto"/>
      </w:divBdr>
    </w:div>
    <w:div w:id="1864594494">
      <w:bodyDiv w:val="1"/>
      <w:marLeft w:val="0"/>
      <w:marRight w:val="0"/>
      <w:marTop w:val="0"/>
      <w:marBottom w:val="0"/>
      <w:divBdr>
        <w:top w:val="none" w:sz="0" w:space="0" w:color="auto"/>
        <w:left w:val="none" w:sz="0" w:space="0" w:color="auto"/>
        <w:bottom w:val="none" w:sz="0" w:space="0" w:color="auto"/>
        <w:right w:val="none" w:sz="0" w:space="0" w:color="auto"/>
      </w:divBdr>
      <w:divsChild>
        <w:div w:id="855314406">
          <w:marLeft w:val="0"/>
          <w:marRight w:val="0"/>
          <w:marTop w:val="0"/>
          <w:marBottom w:val="0"/>
          <w:divBdr>
            <w:top w:val="none" w:sz="0" w:space="0" w:color="auto"/>
            <w:left w:val="none" w:sz="0" w:space="0" w:color="auto"/>
            <w:bottom w:val="none" w:sz="0" w:space="0" w:color="auto"/>
            <w:right w:val="none" w:sz="0" w:space="0" w:color="auto"/>
          </w:divBdr>
          <w:divsChild>
            <w:div w:id="94616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5458">
      <w:bodyDiv w:val="1"/>
      <w:marLeft w:val="0"/>
      <w:marRight w:val="0"/>
      <w:marTop w:val="0"/>
      <w:marBottom w:val="0"/>
      <w:divBdr>
        <w:top w:val="none" w:sz="0" w:space="0" w:color="auto"/>
        <w:left w:val="none" w:sz="0" w:space="0" w:color="auto"/>
        <w:bottom w:val="none" w:sz="0" w:space="0" w:color="auto"/>
        <w:right w:val="none" w:sz="0" w:space="0" w:color="auto"/>
      </w:divBdr>
      <w:divsChild>
        <w:div w:id="257061699">
          <w:marLeft w:val="0"/>
          <w:marRight w:val="0"/>
          <w:marTop w:val="0"/>
          <w:marBottom w:val="0"/>
          <w:divBdr>
            <w:top w:val="none" w:sz="0" w:space="0" w:color="auto"/>
            <w:left w:val="none" w:sz="0" w:space="0" w:color="auto"/>
            <w:bottom w:val="none" w:sz="0" w:space="0" w:color="auto"/>
            <w:right w:val="none" w:sz="0" w:space="0" w:color="auto"/>
          </w:divBdr>
        </w:div>
        <w:div w:id="681588705">
          <w:marLeft w:val="0"/>
          <w:marRight w:val="0"/>
          <w:marTop w:val="0"/>
          <w:marBottom w:val="0"/>
          <w:divBdr>
            <w:top w:val="none" w:sz="0" w:space="0" w:color="auto"/>
            <w:left w:val="none" w:sz="0" w:space="0" w:color="auto"/>
            <w:bottom w:val="none" w:sz="0" w:space="0" w:color="auto"/>
            <w:right w:val="none" w:sz="0" w:space="0" w:color="auto"/>
          </w:divBdr>
        </w:div>
        <w:div w:id="1363361680">
          <w:marLeft w:val="0"/>
          <w:marRight w:val="0"/>
          <w:marTop w:val="0"/>
          <w:marBottom w:val="0"/>
          <w:divBdr>
            <w:top w:val="none" w:sz="0" w:space="0" w:color="auto"/>
            <w:left w:val="none" w:sz="0" w:space="0" w:color="auto"/>
            <w:bottom w:val="none" w:sz="0" w:space="0" w:color="auto"/>
            <w:right w:val="none" w:sz="0" w:space="0" w:color="auto"/>
          </w:divBdr>
        </w:div>
      </w:divsChild>
    </w:div>
    <w:div w:id="213478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yannick.lhorty@u-pem.fr" TargetMode="External"/><Relationship Id="rId1" Type="http://schemas.openxmlformats.org/officeDocument/2006/relationships/hyperlink" Target="mailto:mathieu.bunel@u-bourgog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567A5-4817-461E-9652-63927D57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2127</Words>
  <Characters>11702</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UMLV</Company>
  <LinksUpToDate>false</LinksUpToDate>
  <CharactersWithSpaces>13802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lhorty</dc:creator>
  <cp:lastModifiedBy>lhorty</cp:lastModifiedBy>
  <cp:revision>3</cp:revision>
  <cp:lastPrinted>2016-03-03T08:13:00Z</cp:lastPrinted>
  <dcterms:created xsi:type="dcterms:W3CDTF">2016-03-31T20:47:00Z</dcterms:created>
  <dcterms:modified xsi:type="dcterms:W3CDTF">2016-03-31T21:58:00Z</dcterms:modified>
</cp:coreProperties>
</file>